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D2" w:rsidRPr="002A630E" w:rsidRDefault="00BA547E" w:rsidP="00D31ED6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2A630E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Библиотека</w:t>
      </w:r>
      <w:r w:rsidR="00EA14D2" w:rsidRPr="002A630E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исследователю</w:t>
      </w:r>
    </w:p>
    <w:p w:rsidR="00D31ED6" w:rsidRPr="00CE4514" w:rsidRDefault="00EA14D2" w:rsidP="00CE4514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Серия </w:t>
      </w:r>
      <w:r w:rsidR="00457671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книг </w:t>
      </w:r>
      <w:r w:rsidR="007E0463" w:rsidRPr="007E0463">
        <w:rPr>
          <w:rFonts w:ascii="Arial" w:eastAsia="Times New Roman" w:hAnsi="Arial" w:cs="Arial"/>
          <w:kern w:val="36"/>
          <w:sz w:val="32"/>
          <w:szCs w:val="32"/>
          <w:lang w:eastAsia="ru-RU"/>
        </w:rPr>
        <w:t>«</w:t>
      </w:r>
      <w:r w:rsidR="00D31ED6" w:rsidRPr="00D31ED6">
        <w:rPr>
          <w:rFonts w:ascii="Arial" w:eastAsia="Times New Roman" w:hAnsi="Arial" w:cs="Arial"/>
          <w:kern w:val="36"/>
          <w:sz w:val="32"/>
          <w:szCs w:val="32"/>
          <w:lang w:eastAsia="ru-RU"/>
        </w:rPr>
        <w:t>Городское развитие</w:t>
      </w:r>
      <w:r w:rsidR="007E0463" w:rsidRPr="007E0463">
        <w:rPr>
          <w:rFonts w:ascii="Arial" w:eastAsia="Times New Roman" w:hAnsi="Arial" w:cs="Arial"/>
          <w:kern w:val="36"/>
          <w:sz w:val="32"/>
          <w:szCs w:val="32"/>
          <w:lang w:eastAsia="ru-RU"/>
        </w:rPr>
        <w:t>»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31"/>
        <w:gridCol w:w="6114"/>
      </w:tblGrid>
      <w:tr w:rsidR="00A7547D" w:rsidRPr="00C87042" w:rsidTr="00C87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D31ED6" w:rsidRPr="00C87042" w:rsidRDefault="00D31ED6">
            <w:r w:rsidRPr="00C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7042">
              <w:rPr>
                <w:noProof/>
                <w:lang w:eastAsia="ru-RU"/>
              </w:rPr>
              <w:drawing>
                <wp:inline distT="0" distB="0" distL="0" distR="0" wp14:anchorId="0847C2E3" wp14:editId="511E856B">
                  <wp:extent cx="1866900" cy="2800350"/>
                  <wp:effectExtent l="0" t="0" r="0" b="0"/>
                  <wp:docPr id="1" name="Рисунок 1" descr="Уменьше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меньше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172" cy="280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4" w:type="dxa"/>
          </w:tcPr>
          <w:p w:rsidR="00D31ED6" w:rsidRDefault="00CE4514" w:rsidP="00C87042">
            <w:pPr>
              <w:shd w:val="clear" w:color="auto" w:fill="FFFFFF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self" w:history="1">
              <w:r w:rsidR="00D36FB7" w:rsidRPr="00C870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Города и изменение климата</w:t>
              </w:r>
              <w:r w:rsidR="00D31ED6" w:rsidRPr="00C870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C87042" w:rsidRPr="00CE4514" w:rsidRDefault="00C87042" w:rsidP="00C87042">
            <w:pPr>
              <w:shd w:val="clear" w:color="auto" w:fill="FFFFFF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</w:pPr>
            <w:r w:rsidRPr="00C8704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UR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L</w:t>
            </w:r>
            <w:r w:rsidRPr="00CE4514">
              <w:rPr>
                <w:rFonts w:ascii="Times New Roman" w:hAnsi="Times New Roman" w:cs="Times New Roman"/>
                <w:b w:val="0"/>
                <w:bCs w:val="0"/>
                <w:color w:val="004C92"/>
                <w:u w:val="single"/>
                <w:shd w:val="clear" w:color="auto" w:fill="FFFFFF"/>
                <w:lang w:val="en-US"/>
              </w:rPr>
              <w:t xml:space="preserve"> </w:t>
            </w:r>
            <w:hyperlink r:id="rId6" w:history="1">
              <w:r w:rsidRPr="00C87042">
                <w:rPr>
                  <w:rFonts w:ascii="Times New Roman" w:hAnsi="Times New Roman" w:cs="Times New Roman"/>
                  <w:b w:val="0"/>
                  <w:bCs w:val="0"/>
                  <w:color w:val="004C92"/>
                  <w:u w:val="single"/>
                  <w:shd w:val="clear" w:color="auto" w:fill="FFFFFF"/>
                  <w:lang w:val="en-US"/>
                </w:rPr>
                <w:t>http</w:t>
              </w:r>
              <w:r w:rsidRPr="00CE4514">
                <w:rPr>
                  <w:rFonts w:ascii="Times New Roman" w:hAnsi="Times New Roman" w:cs="Times New Roman"/>
                  <w:b w:val="0"/>
                  <w:bCs w:val="0"/>
                  <w:color w:val="004C92"/>
                  <w:u w:val="single"/>
                  <w:shd w:val="clear" w:color="auto" w:fill="FFFFFF"/>
                  <w:lang w:val="en-US"/>
                </w:rPr>
                <w:t>://</w:t>
              </w:r>
              <w:r w:rsidRPr="00C87042">
                <w:rPr>
                  <w:rFonts w:ascii="Times New Roman" w:hAnsi="Times New Roman" w:cs="Times New Roman"/>
                  <w:b w:val="0"/>
                  <w:bCs w:val="0"/>
                  <w:color w:val="004C92"/>
                  <w:u w:val="single"/>
                  <w:shd w:val="clear" w:color="auto" w:fill="FFFFFF"/>
                  <w:lang w:val="en-US"/>
                </w:rPr>
                <w:t>hdl</w:t>
              </w:r>
              <w:r w:rsidRPr="00CE4514">
                <w:rPr>
                  <w:rFonts w:ascii="Times New Roman" w:hAnsi="Times New Roman" w:cs="Times New Roman"/>
                  <w:b w:val="0"/>
                  <w:bCs w:val="0"/>
                  <w:color w:val="004C92"/>
                  <w:u w:val="single"/>
                  <w:shd w:val="clear" w:color="auto" w:fill="FFFFFF"/>
                  <w:lang w:val="en-US"/>
                </w:rPr>
                <w:t>.</w:t>
              </w:r>
              <w:r w:rsidRPr="00C87042">
                <w:rPr>
                  <w:rFonts w:ascii="Times New Roman" w:hAnsi="Times New Roman" w:cs="Times New Roman"/>
                  <w:b w:val="0"/>
                  <w:bCs w:val="0"/>
                  <w:color w:val="004C92"/>
                  <w:u w:val="single"/>
                  <w:shd w:val="clear" w:color="auto" w:fill="FFFFFF"/>
                  <w:lang w:val="en-US"/>
                </w:rPr>
                <w:t>handle</w:t>
              </w:r>
              <w:r w:rsidRPr="00CE4514">
                <w:rPr>
                  <w:rFonts w:ascii="Times New Roman" w:hAnsi="Times New Roman" w:cs="Times New Roman"/>
                  <w:b w:val="0"/>
                  <w:bCs w:val="0"/>
                  <w:color w:val="004C92"/>
                  <w:u w:val="single"/>
                  <w:shd w:val="clear" w:color="auto" w:fill="FFFFFF"/>
                  <w:lang w:val="en-US"/>
                </w:rPr>
                <w:t>.</w:t>
              </w:r>
              <w:r w:rsidRPr="00C87042">
                <w:rPr>
                  <w:rFonts w:ascii="Times New Roman" w:hAnsi="Times New Roman" w:cs="Times New Roman"/>
                  <w:b w:val="0"/>
                  <w:bCs w:val="0"/>
                  <w:color w:val="004C92"/>
                  <w:u w:val="single"/>
                  <w:shd w:val="clear" w:color="auto" w:fill="FFFFFF"/>
                  <w:lang w:val="en-US"/>
                </w:rPr>
                <w:t>net</w:t>
              </w:r>
              <w:r w:rsidRPr="00CE4514">
                <w:rPr>
                  <w:rFonts w:ascii="Times New Roman" w:hAnsi="Times New Roman" w:cs="Times New Roman"/>
                  <w:b w:val="0"/>
                  <w:bCs w:val="0"/>
                  <w:color w:val="004C92"/>
                  <w:u w:val="single"/>
                  <w:shd w:val="clear" w:color="auto" w:fill="FFFFFF"/>
                  <w:lang w:val="en-US"/>
                </w:rPr>
                <w:t>/10986/2312</w:t>
              </w:r>
            </w:hyperlink>
          </w:p>
          <w:p w:rsidR="00C87042" w:rsidRPr="00C87042" w:rsidRDefault="00C87042" w:rsidP="00C426A0">
            <w:pPr>
              <w:shd w:val="clear" w:color="auto" w:fill="FFFFFF"/>
              <w:spacing w:after="100" w:afterAutospacing="1"/>
              <w:jc w:val="both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 w:rsidRPr="00C8704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Города потребляют значительную часть мировой энергии и, следовательно, производят значительную часть мировых выбросов парниковых газов. </w:t>
            </w:r>
            <w:r w:rsidR="00C426A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Г</w:t>
            </w:r>
            <w:r w:rsidR="00C426A0" w:rsidRPr="00C8704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орода призваны сыграть ключевую роль в смягчении последствий изменения климата</w:t>
            </w:r>
            <w:r w:rsidR="00C426A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, а</w:t>
            </w:r>
            <w:r w:rsidRPr="00C8704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даптация и повышение устойчивости являются </w:t>
            </w:r>
            <w:r w:rsidR="00C426A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приоритетами для каждого города. </w:t>
            </w:r>
            <w:r w:rsidRPr="00C8704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Смягчение последствий изменения климата стали новой темой глобальной повестки дня, вызвав сильное желание правительств, частного сектора и академического сообщества по всему миру учиться на опыте и примерах передовой практики. Авторы </w:t>
            </w:r>
            <w:r w:rsidR="00C426A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издания надеются объединить усилия ученых разных стран в изучении влияния городов на </w:t>
            </w:r>
            <w:r w:rsidRPr="00C8704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изменения климата.</w:t>
            </w:r>
          </w:p>
        </w:tc>
      </w:tr>
      <w:tr w:rsidR="00A7547D" w:rsidRPr="00D44CE7" w:rsidTr="00C87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D31ED6" w:rsidRDefault="003B68B5">
            <w:r>
              <w:rPr>
                <w:noProof/>
                <w:lang w:eastAsia="ru-RU"/>
              </w:rPr>
              <w:drawing>
                <wp:inline distT="0" distB="0" distL="0" distR="0" wp14:anchorId="4B002810" wp14:editId="2BAB2522">
                  <wp:extent cx="1895475" cy="2710789"/>
                  <wp:effectExtent l="0" t="0" r="0" b="0"/>
                  <wp:docPr id="2" name="Рисунок 2" descr="Уменьше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меньше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96" cy="2725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4" w:type="dxa"/>
          </w:tcPr>
          <w:p w:rsidR="00D36FB7" w:rsidRPr="00F952D5" w:rsidRDefault="00D36FB7" w:rsidP="000B6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города</w:t>
            </w:r>
            <w:r w:rsidR="00F34872" w:rsidRPr="00F9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749B" w:rsidRPr="00CE4514" w:rsidRDefault="00A553CF" w:rsidP="000B6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4C92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CE4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8A2ED0" w:rsidRPr="00CE4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8" w:history="1">
              <w:r w:rsidR="000D7D7C" w:rsidRPr="00D44CE7">
                <w:rPr>
                  <w:rFonts w:ascii="Times New Roman" w:hAnsi="Times New Roman" w:cs="Times New Roman"/>
                  <w:color w:val="004C92"/>
                  <w:u w:val="single"/>
                  <w:shd w:val="clear" w:color="auto" w:fill="FFFFFF"/>
                  <w:lang w:val="en-US"/>
                </w:rPr>
                <w:t>https</w:t>
              </w:r>
              <w:r w:rsidR="000D7D7C" w:rsidRPr="00CE4514">
                <w:rPr>
                  <w:rFonts w:ascii="Times New Roman" w:hAnsi="Times New Roman" w:cs="Times New Roman"/>
                  <w:color w:val="004C92"/>
                  <w:u w:val="single"/>
                  <w:shd w:val="clear" w:color="auto" w:fill="FFFFFF"/>
                  <w:lang w:val="en-US"/>
                </w:rPr>
                <w:t>://</w:t>
              </w:r>
              <w:r w:rsidR="000D7D7C" w:rsidRPr="00D44CE7">
                <w:rPr>
                  <w:rFonts w:ascii="Times New Roman" w:hAnsi="Times New Roman" w:cs="Times New Roman"/>
                  <w:color w:val="004C92"/>
                  <w:u w:val="single"/>
                  <w:shd w:val="clear" w:color="auto" w:fill="FFFFFF"/>
                  <w:lang w:val="en-US"/>
                </w:rPr>
                <w:t>openknowledge</w:t>
              </w:r>
              <w:r w:rsidR="000D7D7C" w:rsidRPr="00CE4514">
                <w:rPr>
                  <w:rFonts w:ascii="Times New Roman" w:hAnsi="Times New Roman" w:cs="Times New Roman"/>
                  <w:color w:val="004C92"/>
                  <w:u w:val="single"/>
                  <w:shd w:val="clear" w:color="auto" w:fill="FFFFFF"/>
                  <w:lang w:val="en-US"/>
                </w:rPr>
                <w:t>.</w:t>
              </w:r>
              <w:r w:rsidR="000D7D7C" w:rsidRPr="00D44CE7">
                <w:rPr>
                  <w:rFonts w:ascii="Times New Roman" w:hAnsi="Times New Roman" w:cs="Times New Roman"/>
                  <w:color w:val="004C92"/>
                  <w:u w:val="single"/>
                  <w:shd w:val="clear" w:color="auto" w:fill="FFFFFF"/>
                  <w:lang w:val="en-US"/>
                </w:rPr>
                <w:t>worldbank</w:t>
              </w:r>
              <w:r w:rsidR="000D7D7C" w:rsidRPr="00CE4514">
                <w:rPr>
                  <w:rFonts w:ascii="Times New Roman" w:hAnsi="Times New Roman" w:cs="Times New Roman"/>
                  <w:color w:val="004C92"/>
                  <w:u w:val="single"/>
                  <w:shd w:val="clear" w:color="auto" w:fill="FFFFFF"/>
                  <w:lang w:val="en-US"/>
                </w:rPr>
                <w:t>.</w:t>
              </w:r>
              <w:r w:rsidR="000D7D7C" w:rsidRPr="00D44CE7">
                <w:rPr>
                  <w:rFonts w:ascii="Times New Roman" w:hAnsi="Times New Roman" w:cs="Times New Roman"/>
                  <w:color w:val="004C92"/>
                  <w:u w:val="single"/>
                  <w:shd w:val="clear" w:color="auto" w:fill="FFFFFF"/>
                  <w:lang w:val="en-US"/>
                </w:rPr>
                <w:t>org</w:t>
              </w:r>
              <w:r w:rsidR="000D7D7C" w:rsidRPr="00CE4514">
                <w:rPr>
                  <w:rFonts w:ascii="Times New Roman" w:hAnsi="Times New Roman" w:cs="Times New Roman"/>
                  <w:color w:val="004C92"/>
                  <w:u w:val="single"/>
                  <w:shd w:val="clear" w:color="auto" w:fill="FFFFFF"/>
                  <w:lang w:val="en-US"/>
                </w:rPr>
                <w:t>/</w:t>
              </w:r>
              <w:r w:rsidR="000D7D7C" w:rsidRPr="00D44CE7">
                <w:rPr>
                  <w:rFonts w:ascii="Times New Roman" w:hAnsi="Times New Roman" w:cs="Times New Roman"/>
                  <w:color w:val="004C92"/>
                  <w:u w:val="single"/>
                  <w:shd w:val="clear" w:color="auto" w:fill="FFFFFF"/>
                  <w:lang w:val="en-US"/>
                </w:rPr>
                <w:t>handle</w:t>
              </w:r>
              <w:r w:rsidR="000D7D7C" w:rsidRPr="00CE4514">
                <w:rPr>
                  <w:rFonts w:ascii="Times New Roman" w:hAnsi="Times New Roman" w:cs="Times New Roman"/>
                  <w:color w:val="004C92"/>
                  <w:u w:val="single"/>
                  <w:shd w:val="clear" w:color="auto" w:fill="FFFFFF"/>
                  <w:lang w:val="en-US"/>
                </w:rPr>
                <w:t>/10986/39847</w:t>
              </w:r>
            </w:hyperlink>
          </w:p>
          <w:p w:rsidR="00D44CE7" w:rsidRPr="00D44CE7" w:rsidRDefault="00D44CE7" w:rsidP="00D44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Институциональные ограничения и слабый потенциал часто ограничивают способность местных органов власти управлять урбанизацией в развивающихся </w:t>
            </w:r>
            <w:proofErr w:type="gramStart"/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обзоре анализируется частные города, которыми руководят частные организации.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сегодняшний день проведено недостаточное количество систематических исследований об условиях, необходимых для возникновения таких необычных образований, о роли, которую играют частные субъекты, или о последствиях их существования. Издание призвано восполнить этот пробел. Структурированный обзор позволяет проанализировать частные города в Арабской Республике Египет, Индии, Индонезии и Пакистане.</w:t>
            </w:r>
            <w:r>
              <w:t xml:space="preserve"> </w:t>
            </w:r>
          </w:p>
        </w:tc>
      </w:tr>
      <w:tr w:rsidR="00A7547D" w:rsidRPr="000D7D7C" w:rsidTr="00C87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D31ED6" w:rsidRPr="000D7D7C" w:rsidRDefault="004E1412">
            <w:r>
              <w:rPr>
                <w:noProof/>
                <w:lang w:eastAsia="ru-RU"/>
              </w:rPr>
              <w:drawing>
                <wp:inline distT="0" distB="0" distL="0" distR="0">
                  <wp:extent cx="1913573" cy="2733675"/>
                  <wp:effectExtent l="0" t="0" r="0" b="0"/>
                  <wp:docPr id="4" name="Рисунок 4" descr="Уменьше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меньше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267" cy="2748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4" w:type="dxa"/>
          </w:tcPr>
          <w:p w:rsidR="00D36FB7" w:rsidRDefault="00D36FB7" w:rsidP="004E6DA2">
            <w:pPr>
              <w:pStyle w:val="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D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Что такое</w:t>
            </w:r>
            <w:r w:rsidR="00D44CE7" w:rsidRPr="004E14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</w:t>
            </w:r>
            <w:r w:rsidRPr="004E14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ходы</w:t>
            </w:r>
            <w:proofErr w:type="spellEnd"/>
            <w:r w:rsidRPr="004E14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2.0</w:t>
            </w:r>
            <w:r w:rsidR="00D44C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»</w:t>
            </w:r>
            <w:r w:rsidR="00D44CE7" w:rsidRPr="004E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4E6DA2" w:rsidRPr="00CE4514" w:rsidRDefault="00D36FB7" w:rsidP="00D36FB7">
            <w:pPr>
              <w:pStyle w:val="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URL</w:t>
            </w:r>
            <w:r w:rsidRPr="00CE45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</w:t>
            </w:r>
            <w:hyperlink r:id="rId10" w:history="1">
              <w:r w:rsidR="004E6DA2" w:rsidRPr="00D36FB7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4E6DA2" w:rsidRPr="00CE4514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val="en-US" w:eastAsia="ru-RU"/>
                </w:rPr>
                <w:t>://</w:t>
              </w:r>
              <w:r w:rsidR="004E6DA2" w:rsidRPr="00D36FB7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val="en-US" w:eastAsia="ru-RU"/>
                </w:rPr>
                <w:t>hdl</w:t>
              </w:r>
              <w:r w:rsidR="004E6DA2" w:rsidRPr="00CE4514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="004E6DA2" w:rsidRPr="00D36FB7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val="en-US" w:eastAsia="ru-RU"/>
                </w:rPr>
                <w:t>handle</w:t>
              </w:r>
              <w:r w:rsidR="004E6DA2" w:rsidRPr="00CE4514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="004E6DA2" w:rsidRPr="00D36FB7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4E6DA2" w:rsidRPr="00CE4514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val="en-US" w:eastAsia="ru-RU"/>
                </w:rPr>
                <w:t>/10986/30317</w:t>
              </w:r>
            </w:hyperlink>
          </w:p>
          <w:p w:rsidR="00D31ED6" w:rsidRPr="000D7D7C" w:rsidRDefault="004E1412" w:rsidP="00D44CE7">
            <w:pPr>
              <w:shd w:val="clear" w:color="auto" w:fill="FFFFFF"/>
              <w:spacing w:after="100" w:afterAutospacing="1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Ожидается, что к 2050 году в мире будет ежегодно образовываться 3,40 миллиарда тонн отходов, что резко увеличится с сегодняшних 2,01 миллиарда тонн.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отчете представлены</w:t>
            </w:r>
            <w:r w:rsidRPr="004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обширные данные о твердых отходах на национальном и городском уровнях. В нем оцениваются и прогнозируются объемы образования отходов до 2030 и 2050 годов. Помимо основных показателей данных в отчете представлена информация о расходах на управление отходами, доходах и тарифах; особых отходах; нормативных актах; общественной коммуникации; административных и операционных моделях; и неформальном секторе.</w:t>
            </w:r>
          </w:p>
        </w:tc>
      </w:tr>
      <w:tr w:rsidR="00A7547D" w:rsidRPr="000D7D7C" w:rsidTr="00C87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D31ED6" w:rsidRPr="000D7D7C" w:rsidRDefault="00D36FB7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177C164" wp14:editId="3E240FFA">
                  <wp:extent cx="1895475" cy="2707821"/>
                  <wp:effectExtent l="0" t="0" r="0" b="0"/>
                  <wp:docPr id="3" name="Рисунок 3" descr="Уменьше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меньше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48" cy="271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4" w:type="dxa"/>
          </w:tcPr>
          <w:p w:rsidR="00D36FB7" w:rsidRPr="00D36FB7" w:rsidRDefault="00CE4514" w:rsidP="00D36FB7">
            <w:pPr>
              <w:pStyle w:val="5"/>
              <w:shd w:val="clear" w:color="auto" w:fill="FFFFFF"/>
              <w:spacing w:before="0"/>
              <w:jc w:val="both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71BC"/>
                <w:sz w:val="24"/>
                <w:szCs w:val="24"/>
                <w:u w:val="single"/>
                <w:lang w:eastAsia="ru-RU"/>
              </w:rPr>
            </w:pPr>
            <w:hyperlink r:id="rId12" w:tgtFrame="_self" w:history="1">
              <w:r w:rsidR="00D36FB7" w:rsidRPr="00D36FB7">
                <w:rPr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 xml:space="preserve">Города Восточной Азии и Тихого Океана: расширение возможностей для </w:t>
              </w:r>
              <w:r w:rsidR="00D36FB7" w:rsidRPr="00B46441">
                <w:rPr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бедных слоев городского населения</w:t>
              </w:r>
            </w:hyperlink>
            <w:r w:rsidR="00D36FB7" w:rsidRPr="00B4644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.</w:t>
            </w:r>
            <w:r w:rsidR="00D36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6FB7">
              <w:rPr>
                <w:rFonts w:ascii="Andes" w:eastAsia="Times New Roman" w:hAnsi="Andes" w:cs="Times New Roman"/>
                <w:color w:val="212529"/>
                <w:sz w:val="20"/>
                <w:szCs w:val="20"/>
                <w:lang w:eastAsia="ru-RU"/>
              </w:rPr>
              <w:t xml:space="preserve">URL </w:t>
            </w:r>
            <w:hyperlink r:id="rId13" w:history="1">
              <w:r w:rsidR="00D36FB7" w:rsidRPr="00D36FB7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eastAsia="ru-RU"/>
                </w:rPr>
                <w:t>http://hdl.handle.net/10986/27614</w:t>
              </w:r>
            </w:hyperlink>
          </w:p>
          <w:p w:rsidR="00D36FB7" w:rsidRPr="00D36FB7" w:rsidRDefault="00D36FB7" w:rsidP="00D36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Урбанизация в Восточной Азии и Тихо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океанском регионе</w:t>
            </w:r>
            <w:r w:rsidRPr="00D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создала огромные возможности для многих. Однако быстрый рост городов может также создавать проблемы,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которых</w:t>
            </w:r>
            <w:r w:rsidRPr="00D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нехватка доступного жилья, что приводит к росту трущоб, дефициту базовых услуг и усилению неравенства городских жителей. Цель этого исследования - лучше понять городскую бедность и неравенство в городах Восточной Азии, признавая, что многие страны региона, особенно страны со средним уровнем дохода, находятся на критическом этапе процесса урбанизации и роста, когда потенциальные социальные разногласия в городах могут нанести ущерб перспективам сокращения бедности в будущем. </w:t>
            </w:r>
          </w:p>
        </w:tc>
      </w:tr>
      <w:tr w:rsidR="00A7547D" w:rsidRPr="000D7D7C" w:rsidTr="00C87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D31ED6" w:rsidRPr="000D7D7C" w:rsidRDefault="00B46441">
            <w:r>
              <w:rPr>
                <w:noProof/>
                <w:lang w:eastAsia="ru-RU"/>
              </w:rPr>
              <w:drawing>
                <wp:inline distT="0" distB="0" distL="0" distR="0" wp14:anchorId="03F8B30A" wp14:editId="62A5F848">
                  <wp:extent cx="1885950" cy="2694214"/>
                  <wp:effectExtent l="0" t="0" r="0" b="0"/>
                  <wp:docPr id="5" name="Рисунок 5" descr="Уменьше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меньше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125" cy="270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4" w:type="dxa"/>
          </w:tcPr>
          <w:p w:rsidR="00354D32" w:rsidRPr="00354D32" w:rsidRDefault="00B46441" w:rsidP="00354D32">
            <w:pPr>
              <w:pStyle w:val="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71BC"/>
                <w:sz w:val="24"/>
                <w:szCs w:val="24"/>
                <w:u w:val="single"/>
                <w:lang w:eastAsia="ru-RU"/>
              </w:rPr>
            </w:pPr>
            <w:r w:rsidRPr="00354D3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Регенерация городских земель: практическое руководство по привлечению частных инвестиций</w:t>
            </w:r>
            <w:r w:rsidR="00354D32">
              <w:rPr>
                <w:bCs/>
                <w:sz w:val="24"/>
                <w:szCs w:val="24"/>
              </w:rPr>
              <w:t xml:space="preserve">. </w:t>
            </w:r>
            <w:r w:rsidR="00354D32">
              <w:rPr>
                <w:rFonts w:ascii="Andes" w:eastAsia="Times New Roman" w:hAnsi="Andes" w:cs="Times New Roman"/>
                <w:color w:val="212529"/>
                <w:sz w:val="20"/>
                <w:szCs w:val="20"/>
                <w:lang w:eastAsia="ru-RU"/>
              </w:rPr>
              <w:t>UR</w:t>
            </w:r>
            <w:r w:rsidR="00354D32">
              <w:rPr>
                <w:rFonts w:ascii="Andes" w:eastAsia="Times New Roman" w:hAnsi="Andes" w:cs="Times New Roman"/>
                <w:color w:val="212529"/>
                <w:sz w:val="20"/>
                <w:szCs w:val="20"/>
                <w:lang w:val="en-US" w:eastAsia="ru-RU"/>
              </w:rPr>
              <w:t>L</w:t>
            </w:r>
            <w:r w:rsidR="00354D32" w:rsidRPr="00457671">
              <w:rPr>
                <w:rFonts w:ascii="Andes" w:eastAsia="Times New Roman" w:hAnsi="Andes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="00354D32" w:rsidRPr="00354D32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eastAsia="ru-RU"/>
                </w:rPr>
                <w:t>http://hdl.handle.net/10986/24377</w:t>
              </w:r>
            </w:hyperlink>
          </w:p>
          <w:p w:rsidR="00B47DAE" w:rsidRPr="00B47DAE" w:rsidRDefault="00B47DAE" w:rsidP="00B47DAE">
            <w:pPr>
              <w:pStyle w:val="2"/>
              <w:shd w:val="clear" w:color="auto" w:fill="FFFFFF"/>
              <w:spacing w:before="0" w:beforeAutospacing="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47DAE">
              <w:rPr>
                <w:b w:val="0"/>
                <w:bCs w:val="0"/>
                <w:sz w:val="24"/>
                <w:szCs w:val="24"/>
              </w:rPr>
              <w:t>Регенерация городских земель помогает местным органам власти систематически определять последовательность шагов и задач, н</w:t>
            </w:r>
            <w:r>
              <w:rPr>
                <w:b w:val="0"/>
                <w:bCs w:val="0"/>
                <w:sz w:val="24"/>
                <w:szCs w:val="24"/>
              </w:rPr>
              <w:t xml:space="preserve">еобходимых для разработки стратегии развития </w:t>
            </w:r>
            <w:r w:rsidRPr="00B47DAE">
              <w:rPr>
                <w:b w:val="0"/>
                <w:bCs w:val="0"/>
                <w:sz w:val="24"/>
                <w:szCs w:val="24"/>
              </w:rPr>
              <w:t xml:space="preserve">с участием частного сектора. В руководстве </w:t>
            </w:r>
            <w:r>
              <w:rPr>
                <w:b w:val="0"/>
                <w:bCs w:val="0"/>
                <w:sz w:val="24"/>
                <w:szCs w:val="24"/>
              </w:rPr>
              <w:t>ф</w:t>
            </w:r>
            <w:r w:rsidRPr="00B47DAE">
              <w:rPr>
                <w:b w:val="0"/>
                <w:bCs w:val="0"/>
                <w:sz w:val="24"/>
                <w:szCs w:val="24"/>
              </w:rPr>
              <w:t xml:space="preserve">ормулируются </w:t>
            </w:r>
            <w:r w:rsidR="00354D32" w:rsidRPr="00B47DAE">
              <w:rPr>
                <w:b w:val="0"/>
                <w:bCs w:val="0"/>
                <w:sz w:val="24"/>
                <w:szCs w:val="24"/>
              </w:rPr>
              <w:t>конкретные инструменты</w:t>
            </w:r>
            <w:r w:rsidRPr="00B47DAE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привлечения</w:t>
            </w:r>
            <w:r w:rsidRPr="00B47DAE">
              <w:rPr>
                <w:b w:val="0"/>
                <w:bCs w:val="0"/>
                <w:sz w:val="24"/>
                <w:szCs w:val="24"/>
              </w:rPr>
              <w:t xml:space="preserve"> частного сектора; структурирования эффективных административных и правовых рамок; использования методов перестройки земель; распределения рисков и мер по обеспечению </w:t>
            </w:r>
            <w:r>
              <w:rPr>
                <w:b w:val="0"/>
                <w:bCs w:val="0"/>
                <w:sz w:val="24"/>
                <w:szCs w:val="24"/>
              </w:rPr>
              <w:t xml:space="preserve">финансовой </w:t>
            </w:r>
            <w:r w:rsidRPr="00B47DAE">
              <w:rPr>
                <w:b w:val="0"/>
                <w:bCs w:val="0"/>
                <w:sz w:val="24"/>
                <w:szCs w:val="24"/>
              </w:rPr>
              <w:t>устойчивости.</w:t>
            </w:r>
          </w:p>
          <w:p w:rsidR="00D31ED6" w:rsidRPr="00B47DAE" w:rsidRDefault="00D31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7D" w:rsidRPr="000D7D7C" w:rsidTr="00C87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D31ED6" w:rsidRPr="000D7D7C" w:rsidRDefault="00BB487A">
            <w:r>
              <w:rPr>
                <w:noProof/>
                <w:lang w:eastAsia="ru-RU"/>
              </w:rPr>
              <w:drawing>
                <wp:inline distT="0" distB="0" distL="0" distR="0" wp14:anchorId="69F432AC" wp14:editId="60344C5F">
                  <wp:extent cx="1895475" cy="2707821"/>
                  <wp:effectExtent l="0" t="0" r="0" b="0"/>
                  <wp:docPr id="6" name="Рисунок 6" descr="Уменьше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меньше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89" cy="271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4" w:type="dxa"/>
          </w:tcPr>
          <w:p w:rsidR="00E46EE4" w:rsidRPr="00E46EE4" w:rsidRDefault="00BB487A" w:rsidP="00E46EE4">
            <w:pPr>
              <w:pStyle w:val="5"/>
              <w:shd w:val="clear" w:color="auto" w:fill="FFFFFF"/>
              <w:spacing w:before="0"/>
              <w:jc w:val="both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46E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Меняющийся городской ландшафт Восточной Азии: измерение десятилетия пространственного роста</w:t>
            </w:r>
            <w:r w:rsidR="00E46EE4" w:rsidRPr="00E46EE4">
              <w:rPr>
                <w:b/>
                <w:sz w:val="24"/>
                <w:szCs w:val="24"/>
              </w:rPr>
              <w:t>.</w:t>
            </w:r>
          </w:p>
          <w:p w:rsidR="00E46EE4" w:rsidRPr="00E46EE4" w:rsidRDefault="00E46EE4" w:rsidP="00E46EE4">
            <w:pPr>
              <w:pStyle w:val="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71BC"/>
                <w:sz w:val="24"/>
                <w:szCs w:val="24"/>
                <w:u w:val="single"/>
                <w:lang w:val="en-US" w:eastAsia="ru-RU"/>
              </w:rPr>
            </w:pPr>
            <w:r w:rsidRPr="00E46EE4">
              <w:rPr>
                <w:rFonts w:ascii="Andes" w:eastAsia="Times New Roman" w:hAnsi="Andes" w:cs="Times New Roman"/>
                <w:color w:val="212529"/>
                <w:sz w:val="20"/>
                <w:szCs w:val="20"/>
                <w:lang w:val="en-US" w:eastAsia="ru-RU"/>
              </w:rPr>
              <w:t>UR</w:t>
            </w:r>
            <w:r>
              <w:rPr>
                <w:rFonts w:ascii="Andes" w:eastAsia="Times New Roman" w:hAnsi="Andes" w:cs="Times New Roman"/>
                <w:color w:val="212529"/>
                <w:sz w:val="20"/>
                <w:szCs w:val="20"/>
                <w:lang w:val="en-US" w:eastAsia="ru-RU"/>
              </w:rPr>
              <w:t xml:space="preserve">L </w:t>
            </w:r>
            <w:hyperlink r:id="rId17" w:history="1">
              <w:r w:rsidRPr="00E46EE4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val="en-US" w:eastAsia="ru-RU"/>
                </w:rPr>
                <w:t>http://hdl.handle.net/10986/21159</w:t>
              </w:r>
            </w:hyperlink>
          </w:p>
          <w:p w:rsidR="00D31ED6" w:rsidRPr="00B47DAE" w:rsidRDefault="00BB487A" w:rsidP="00BB4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Меняющийся городской ландшафт Восточной Азии направлен на решение этой проблемы путем использования спутниковых снимков и других данных для измерения роста городов в Восточной Азии и Тихоокеанском регионе в период с 2000 по 2010 год. Иллюстрированный картами и графиками, он представляет тенденции расширения городов и прироста населения в более чем 850 городских районах - по странам, городским районам, доходным группам и категориям размера города. В книге обсуждаются последствия исследования и излагаются потенциальные варианты развития городов.  Издание будет полезно исследователям и студентам, интересующимся феноменом урбанизации.</w:t>
            </w:r>
          </w:p>
        </w:tc>
      </w:tr>
      <w:tr w:rsidR="00A7547D" w:rsidRPr="000D7D7C" w:rsidTr="00C87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D31ED6" w:rsidRPr="000D7D7C" w:rsidRDefault="00A67E0A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D0F3701" wp14:editId="37599014">
                  <wp:extent cx="1914525" cy="2735036"/>
                  <wp:effectExtent l="0" t="0" r="0" b="8255"/>
                  <wp:docPr id="7" name="Рисунок 7" descr="Уменьше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меньше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793" cy="275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4" w:type="dxa"/>
          </w:tcPr>
          <w:p w:rsidR="00A67E0A" w:rsidRDefault="00A67E0A" w:rsidP="00A67E0A">
            <w:pPr>
              <w:pStyle w:val="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67E0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Финансирование развития, ориентированного на транзит: адаптация роста стоимости земли в развивающихся странах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A67E0A" w:rsidRPr="00A67E0A" w:rsidRDefault="00A67E0A" w:rsidP="00A67E0A">
            <w:pPr>
              <w:pStyle w:val="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71BC"/>
                <w:sz w:val="24"/>
                <w:szCs w:val="24"/>
                <w:u w:val="single"/>
                <w:lang w:val="en-US" w:eastAsia="ru-RU"/>
              </w:rPr>
            </w:pPr>
            <w:r w:rsidRPr="00A67E0A">
              <w:rPr>
                <w:rFonts w:ascii="Andes" w:eastAsia="Times New Roman" w:hAnsi="Andes" w:cs="Times New Roman"/>
                <w:color w:val="212529"/>
                <w:sz w:val="20"/>
                <w:szCs w:val="20"/>
                <w:lang w:val="en-US" w:eastAsia="ru-RU"/>
              </w:rPr>
              <w:t>URL</w:t>
            </w:r>
            <w:r w:rsidRPr="00A67E0A">
              <w:rPr>
                <w:rFonts w:ascii="Times New Roman" w:eastAsia="Times New Roman" w:hAnsi="Times New Roman" w:cs="Times New Roman"/>
                <w:color w:val="0071BC"/>
                <w:sz w:val="24"/>
                <w:szCs w:val="24"/>
                <w:u w:val="single"/>
                <w:lang w:val="en-US" w:eastAsia="ru-RU"/>
              </w:rPr>
              <w:t xml:space="preserve"> </w:t>
            </w:r>
            <w:hyperlink r:id="rId19" w:history="1">
              <w:r w:rsidRPr="00A67E0A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lang w:val="en-US" w:eastAsia="ru-RU"/>
                </w:rPr>
                <w:t>http://hdl.handle.net/10986/21286</w:t>
              </w:r>
            </w:hyperlink>
          </w:p>
          <w:p w:rsidR="00D31ED6" w:rsidRPr="000D7D7C" w:rsidRDefault="00A67E0A" w:rsidP="00A67E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Быстро растущие города в развивающихся странах имеют условия для внедрения DBLVC: сильный экономический рост, повышение реальных доходов и увеличение автомобилизации и уровня загруженности дорог – все это приводит к повышению стоимости земли в непосредственной близости от транзитных станций или коридоров. При хорошей адаптации к местным условиям схемы DBLVC обладают большим потенциалом стать важным стратегическим механизмом городского финансирования и планирования для городов развивающихся стран. В книге представлены стратегии, политика и методологии для разработки схем DBLVC для финансирования транзита.</w:t>
            </w:r>
          </w:p>
        </w:tc>
      </w:tr>
      <w:tr w:rsidR="000B56B9" w:rsidRPr="000D7D7C" w:rsidTr="00457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bottom w:val="double" w:sz="4" w:space="0" w:color="5B9BD5" w:themeColor="accent1"/>
            </w:tcBorders>
          </w:tcPr>
          <w:p w:rsidR="00BB487A" w:rsidRPr="000D7D7C" w:rsidRDefault="00A7547D">
            <w:r>
              <w:rPr>
                <w:noProof/>
                <w:lang w:eastAsia="ru-RU"/>
              </w:rPr>
              <w:drawing>
                <wp:inline distT="0" distB="0" distL="0" distR="0" wp14:anchorId="1A45F563" wp14:editId="14309858">
                  <wp:extent cx="1905000" cy="2724150"/>
                  <wp:effectExtent l="0" t="0" r="0" b="0"/>
                  <wp:docPr id="8" name="Рисунок 8" descr="Уменьше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меньше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48" cy="272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4" w:type="dxa"/>
            <w:tcBorders>
              <w:bottom w:val="double" w:sz="4" w:space="0" w:color="5B9BD5" w:themeColor="accent1"/>
            </w:tcBorders>
          </w:tcPr>
          <w:p w:rsidR="001D6FEE" w:rsidRDefault="00A7547D" w:rsidP="000B56B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1D6FEE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  <w:t>Экономика уникальности: инвестирование в исторические центры городов и объекты культурного наследия для устойчивого развития</w:t>
            </w:r>
            <w:r w:rsidR="001D6FEE" w:rsidRPr="001D6FE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  <w:p w:rsidR="000B56B9" w:rsidRPr="00F952D5" w:rsidRDefault="001D6FEE" w:rsidP="000B56B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71BC"/>
                <w:sz w:val="24"/>
                <w:szCs w:val="24"/>
                <w:u w:val="single"/>
                <w:lang w:val="en-US"/>
              </w:rPr>
            </w:pPr>
            <w:r w:rsidRPr="001D6FE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  <w:t>URL</w:t>
            </w:r>
            <w:r w:rsidRPr="00F952D5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  <w:t xml:space="preserve"> </w:t>
            </w:r>
            <w:hyperlink r:id="rId21" w:history="1">
              <w:r w:rsidRPr="001D6FEE">
                <w:rPr>
                  <w:b w:val="0"/>
                  <w:bCs w:val="0"/>
                  <w:color w:val="0071BC"/>
                  <w:sz w:val="24"/>
                  <w:szCs w:val="24"/>
                  <w:u w:val="single"/>
                  <w:lang w:val="en-US"/>
                </w:rPr>
                <w:t>http</w:t>
              </w:r>
              <w:r w:rsidRPr="00F952D5">
                <w:rPr>
                  <w:b w:val="0"/>
                  <w:bCs w:val="0"/>
                  <w:color w:val="0071BC"/>
                  <w:sz w:val="24"/>
                  <w:szCs w:val="24"/>
                  <w:u w:val="single"/>
                  <w:lang w:val="en-US"/>
                </w:rPr>
                <w:t>://</w:t>
              </w:r>
              <w:r w:rsidRPr="001D6FEE">
                <w:rPr>
                  <w:b w:val="0"/>
                  <w:bCs w:val="0"/>
                  <w:color w:val="0071BC"/>
                  <w:sz w:val="24"/>
                  <w:szCs w:val="24"/>
                  <w:u w:val="single"/>
                  <w:lang w:val="en-US"/>
                </w:rPr>
                <w:t>hdl</w:t>
              </w:r>
              <w:r w:rsidRPr="00F952D5">
                <w:rPr>
                  <w:b w:val="0"/>
                  <w:bCs w:val="0"/>
                  <w:color w:val="0071BC"/>
                  <w:sz w:val="24"/>
                  <w:szCs w:val="24"/>
                  <w:u w:val="single"/>
                  <w:lang w:val="en-US"/>
                </w:rPr>
                <w:t>.</w:t>
              </w:r>
              <w:r w:rsidRPr="001D6FEE">
                <w:rPr>
                  <w:b w:val="0"/>
                  <w:bCs w:val="0"/>
                  <w:color w:val="0071BC"/>
                  <w:sz w:val="24"/>
                  <w:szCs w:val="24"/>
                  <w:u w:val="single"/>
                  <w:lang w:val="en-US"/>
                </w:rPr>
                <w:t>handle</w:t>
              </w:r>
              <w:r w:rsidRPr="00F952D5">
                <w:rPr>
                  <w:b w:val="0"/>
                  <w:bCs w:val="0"/>
                  <w:color w:val="0071BC"/>
                  <w:sz w:val="24"/>
                  <w:szCs w:val="24"/>
                  <w:u w:val="single"/>
                  <w:lang w:val="en-US"/>
                </w:rPr>
                <w:t>.</w:t>
              </w:r>
              <w:r w:rsidRPr="001D6FEE">
                <w:rPr>
                  <w:b w:val="0"/>
                  <w:bCs w:val="0"/>
                  <w:color w:val="0071BC"/>
                  <w:sz w:val="24"/>
                  <w:szCs w:val="24"/>
                  <w:u w:val="single"/>
                  <w:lang w:val="en-US"/>
                </w:rPr>
                <w:t>net</w:t>
              </w:r>
              <w:r w:rsidRPr="00F952D5">
                <w:rPr>
                  <w:b w:val="0"/>
                  <w:bCs w:val="0"/>
                  <w:color w:val="0071BC"/>
                  <w:sz w:val="24"/>
                  <w:szCs w:val="24"/>
                  <w:u w:val="single"/>
                  <w:lang w:val="en-US"/>
                </w:rPr>
                <w:t>/10986/12286</w:t>
              </w:r>
            </w:hyperlink>
            <w:r w:rsidRPr="00F952D5">
              <w:rPr>
                <w:b w:val="0"/>
                <w:bCs w:val="0"/>
                <w:color w:val="0071BC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B487A" w:rsidRPr="000D7D7C" w:rsidRDefault="001D6FEE" w:rsidP="000B56B9">
            <w:pPr>
              <w:pStyle w:val="2"/>
              <w:shd w:val="clear" w:color="auto" w:fill="FFFFFF"/>
              <w:spacing w:before="0" w:beforeAutospacing="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FE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В усл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овиях </w:t>
            </w:r>
            <w:r w:rsidRPr="000B56B9">
              <w:rPr>
                <w:b w:val="0"/>
                <w:bCs w:val="0"/>
                <w:sz w:val="24"/>
                <w:szCs w:val="24"/>
              </w:rPr>
              <w:t>урбанизации городов, обладающих ценными историческими центрами и объектами наследия, наблюдается растущая тенденция к финансированию проектов, направленных на сохранение наследия и включение его в стратегии развития. В этой книге представлены подходы к обеспечению баланса между сохранением и развитием. В книге представлены подходы к сочетанию инвестиций в достопримечательности и прилегающие к ним территории, в содействие устойчивой урбанизации и инклюзивному росту.</w:t>
            </w:r>
          </w:p>
        </w:tc>
      </w:tr>
    </w:tbl>
    <w:p w:rsidR="000B56B9" w:rsidRDefault="000B56B9" w:rsidP="000B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979" w:rsidRPr="000D7D7C" w:rsidRDefault="007D5979">
      <w:bookmarkStart w:id="0" w:name="_GoBack"/>
      <w:bookmarkEnd w:id="0"/>
    </w:p>
    <w:sectPr w:rsidR="007D5979" w:rsidRPr="000D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6"/>
    <w:rsid w:val="000B56B9"/>
    <w:rsid w:val="000B6072"/>
    <w:rsid w:val="000D7D7C"/>
    <w:rsid w:val="00172884"/>
    <w:rsid w:val="001D6FEE"/>
    <w:rsid w:val="0022546C"/>
    <w:rsid w:val="002A630E"/>
    <w:rsid w:val="002F11A7"/>
    <w:rsid w:val="00354D32"/>
    <w:rsid w:val="003B68B5"/>
    <w:rsid w:val="00457671"/>
    <w:rsid w:val="004E1412"/>
    <w:rsid w:val="004E6DA2"/>
    <w:rsid w:val="005A4FA0"/>
    <w:rsid w:val="007D5979"/>
    <w:rsid w:val="007E0463"/>
    <w:rsid w:val="008A2ED0"/>
    <w:rsid w:val="00A553CF"/>
    <w:rsid w:val="00A67E0A"/>
    <w:rsid w:val="00A7547D"/>
    <w:rsid w:val="00B46441"/>
    <w:rsid w:val="00B47DAE"/>
    <w:rsid w:val="00BA547E"/>
    <w:rsid w:val="00BB487A"/>
    <w:rsid w:val="00C426A0"/>
    <w:rsid w:val="00C87042"/>
    <w:rsid w:val="00CE4514"/>
    <w:rsid w:val="00D31ED6"/>
    <w:rsid w:val="00D36FB7"/>
    <w:rsid w:val="00D44CE7"/>
    <w:rsid w:val="00DC6BE5"/>
    <w:rsid w:val="00E46EE4"/>
    <w:rsid w:val="00E8749B"/>
    <w:rsid w:val="00EA14D2"/>
    <w:rsid w:val="00F34872"/>
    <w:rsid w:val="00F404D6"/>
    <w:rsid w:val="00F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DD63"/>
  <w15:chartTrackingRefBased/>
  <w15:docId w15:val="{5589C60C-2718-41D8-986C-1346BF42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1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E6D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749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E1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g-star-inserted">
    <w:name w:val="ng-star-inserted"/>
    <w:basedOn w:val="a0"/>
    <w:rsid w:val="004E6DA2"/>
  </w:style>
  <w:style w:type="character" w:customStyle="1" w:styleId="50">
    <w:name w:val="Заголовок 5 Знак"/>
    <w:basedOn w:val="a0"/>
    <w:link w:val="5"/>
    <w:uiPriority w:val="9"/>
    <w:rsid w:val="004E6DA2"/>
    <w:rPr>
      <w:rFonts w:asciiTheme="majorHAnsi" w:eastAsiaTheme="majorEastAsia" w:hAnsiTheme="majorHAnsi" w:cstheme="majorBidi"/>
      <w:color w:val="2E74B5" w:themeColor="accent1" w:themeShade="BF"/>
    </w:rPr>
  </w:style>
  <w:style w:type="table" w:styleId="-11">
    <w:name w:val="Grid Table 1 Light Accent 1"/>
    <w:basedOn w:val="a1"/>
    <w:uiPriority w:val="46"/>
    <w:rsid w:val="00C8704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knowledge.worldbank.org/handle/10986/39847" TargetMode="External"/><Relationship Id="rId13" Type="http://schemas.openxmlformats.org/officeDocument/2006/relationships/hyperlink" Target="http://hdl.handle.net/10986/27614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hyperlink" Target="http://hdl.handle.net/10986/12286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penknowledge.worldbank.org/entities/publication/a91f5bbd-3827-53ce-8765-01e99256eb96" TargetMode="External"/><Relationship Id="rId17" Type="http://schemas.openxmlformats.org/officeDocument/2006/relationships/hyperlink" Target="http://hdl.handle.net/10986/2115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hdl.handle.net/10986/2312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openknowledge.worldbank.org/entities/publication/c9f8e41b-efeb-5f85-95a2-9945e5112e25" TargetMode="External"/><Relationship Id="rId15" Type="http://schemas.openxmlformats.org/officeDocument/2006/relationships/hyperlink" Target="http://hdl.handle.net/10986/2437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dl.handle.net/10986/30317" TargetMode="External"/><Relationship Id="rId19" Type="http://schemas.openxmlformats.org/officeDocument/2006/relationships/hyperlink" Target="http://hdl.handle.net/10986/21286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 Мац</dc:creator>
  <cp:keywords/>
  <dc:description/>
  <cp:lastModifiedBy>Мария Владимировна Шипилова</cp:lastModifiedBy>
  <cp:revision>23</cp:revision>
  <dcterms:created xsi:type="dcterms:W3CDTF">2023-07-17T13:09:00Z</dcterms:created>
  <dcterms:modified xsi:type="dcterms:W3CDTF">2023-07-20T07:37:00Z</dcterms:modified>
</cp:coreProperties>
</file>