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82" w:rsidRPr="004E3980" w:rsidRDefault="001D4982" w:rsidP="001D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3980">
        <w:rPr>
          <w:rFonts w:ascii="Times New Roman" w:hAnsi="Times New Roman" w:cs="Times New Roman"/>
          <w:b/>
          <w:sz w:val="28"/>
          <w:szCs w:val="28"/>
        </w:rPr>
        <w:t xml:space="preserve">Федосов В.А., </w:t>
      </w:r>
      <w:proofErr w:type="spellStart"/>
      <w:r w:rsidRPr="004E3980">
        <w:rPr>
          <w:rFonts w:ascii="Times New Roman" w:hAnsi="Times New Roman" w:cs="Times New Roman"/>
          <w:b/>
          <w:sz w:val="28"/>
          <w:szCs w:val="28"/>
        </w:rPr>
        <w:t>Драева</w:t>
      </w:r>
      <w:proofErr w:type="spellEnd"/>
      <w:r w:rsidRPr="004E398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1D4982" w:rsidRPr="004E3980" w:rsidRDefault="001D4982" w:rsidP="001D49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3980">
        <w:rPr>
          <w:rFonts w:ascii="Times New Roman" w:hAnsi="Times New Roman" w:cs="Times New Roman"/>
          <w:b/>
          <w:sz w:val="28"/>
          <w:szCs w:val="28"/>
          <w:lang w:val="en-US"/>
        </w:rPr>
        <w:t>FedosovV.A</w:t>
      </w:r>
      <w:proofErr w:type="spellEnd"/>
      <w:r w:rsidRPr="004E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., </w:t>
      </w:r>
      <w:proofErr w:type="spellStart"/>
      <w:r w:rsidRPr="004E3980">
        <w:rPr>
          <w:rFonts w:ascii="Times New Roman" w:hAnsi="Times New Roman" w:cs="Times New Roman"/>
          <w:b/>
          <w:sz w:val="28"/>
          <w:szCs w:val="28"/>
          <w:lang w:val="en-US"/>
        </w:rPr>
        <w:t>Draeva</w:t>
      </w:r>
      <w:proofErr w:type="spellEnd"/>
      <w:r w:rsidRPr="004E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L.A.</w:t>
      </w:r>
    </w:p>
    <w:p w:rsidR="001D4982" w:rsidRPr="004E3980" w:rsidRDefault="001D4982" w:rsidP="00657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253B" w:rsidRPr="004E3980" w:rsidRDefault="00E668F5" w:rsidP="0015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80">
        <w:rPr>
          <w:rFonts w:ascii="Times New Roman" w:hAnsi="Times New Roman" w:cs="Times New Roman"/>
          <w:b/>
          <w:sz w:val="28"/>
          <w:szCs w:val="28"/>
        </w:rPr>
        <w:t xml:space="preserve">«БЮДЖЕТ ДЛЯ ГРАЖДАН» КАК ИНСТРУМЕНТ </w:t>
      </w:r>
      <w:proofErr w:type="gramStart"/>
      <w:r w:rsidRPr="004E3980">
        <w:rPr>
          <w:rFonts w:ascii="Times New Roman" w:hAnsi="Times New Roman" w:cs="Times New Roman"/>
          <w:b/>
          <w:sz w:val="28"/>
          <w:szCs w:val="28"/>
        </w:rPr>
        <w:t>ПОВЫШЕНИЯ ПРОЗРАЧНОСТИ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3980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</w:t>
      </w:r>
      <w:r w:rsidR="00657D23" w:rsidRPr="004E3980">
        <w:rPr>
          <w:rFonts w:ascii="Times New Roman" w:hAnsi="Times New Roman" w:cs="Times New Roman"/>
          <w:b/>
          <w:sz w:val="28"/>
          <w:szCs w:val="28"/>
        </w:rPr>
        <w:t>ФЕДЕРАЦИИ</w:t>
      </w:r>
      <w:proofErr w:type="gramEnd"/>
    </w:p>
    <w:p w:rsidR="00D95985" w:rsidRPr="004E3980" w:rsidRDefault="00150F35" w:rsidP="0015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«CITIZENS BUDGET» AS A TOOL OF INCREASING BUDGET </w:t>
      </w:r>
      <w:r w:rsidR="00E668F5" w:rsidRPr="004E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TRANSPARENCY </w:t>
      </w:r>
      <w:r w:rsidR="00E668F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E668F5" w:rsidRPr="004E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RUSSIAN FEDERATION</w:t>
      </w:r>
      <w:r w:rsidR="00E668F5" w:rsidRPr="00195A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REGION</w:t>
      </w:r>
    </w:p>
    <w:p w:rsidR="009C7989" w:rsidRPr="00195A5C" w:rsidRDefault="009C7989" w:rsidP="009C798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C7989" w:rsidRPr="004E3980" w:rsidRDefault="009C7989" w:rsidP="009C7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4E3980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Pr="004E3980">
        <w:rPr>
          <w:rFonts w:ascii="Times New Roman" w:hAnsi="Times New Roman" w:cs="Times New Roman"/>
          <w:sz w:val="20"/>
          <w:szCs w:val="20"/>
        </w:rPr>
        <w:t xml:space="preserve"> бюджет, </w:t>
      </w:r>
      <w:r w:rsidR="00150F35" w:rsidRPr="004E3980">
        <w:rPr>
          <w:rFonts w:ascii="Times New Roman" w:hAnsi="Times New Roman" w:cs="Times New Roman"/>
          <w:sz w:val="20"/>
          <w:szCs w:val="20"/>
        </w:rPr>
        <w:t xml:space="preserve">бюджетный процесс, </w:t>
      </w:r>
      <w:r w:rsidRPr="004E3980">
        <w:rPr>
          <w:rFonts w:ascii="Times New Roman" w:hAnsi="Times New Roman" w:cs="Times New Roman"/>
          <w:sz w:val="20"/>
          <w:szCs w:val="20"/>
        </w:rPr>
        <w:t xml:space="preserve">прозрачность бюджета, </w:t>
      </w:r>
      <w:r w:rsidR="00E668F5">
        <w:rPr>
          <w:rFonts w:ascii="Times New Roman" w:hAnsi="Times New Roman" w:cs="Times New Roman"/>
          <w:sz w:val="20"/>
          <w:szCs w:val="20"/>
        </w:rPr>
        <w:t xml:space="preserve">открытость бюджета, </w:t>
      </w:r>
      <w:r w:rsidRPr="004E3980">
        <w:rPr>
          <w:rFonts w:ascii="Times New Roman" w:hAnsi="Times New Roman" w:cs="Times New Roman"/>
          <w:sz w:val="20"/>
          <w:szCs w:val="20"/>
        </w:rPr>
        <w:t xml:space="preserve">бюджет для граждан, </w:t>
      </w:r>
      <w:r w:rsidR="00E668F5">
        <w:rPr>
          <w:rFonts w:ascii="Times New Roman" w:hAnsi="Times New Roman" w:cs="Times New Roman"/>
          <w:sz w:val="20"/>
          <w:szCs w:val="20"/>
        </w:rPr>
        <w:t>субъект</w:t>
      </w:r>
      <w:r w:rsidRPr="004E3980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9C7989" w:rsidRPr="004E3980" w:rsidRDefault="009C7989" w:rsidP="009C7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95A5C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 budget, </w:t>
      </w:r>
      <w:r w:rsidR="00150F35"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budget </w:t>
      </w:r>
      <w:r w:rsidR="00150F35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process, </w:t>
      </w:r>
      <w:r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budget transparency, </w:t>
      </w:r>
      <w:r w:rsidR="00E668F5"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budget </w:t>
      </w:r>
      <w:r w:rsidR="00E668F5">
        <w:rPr>
          <w:rFonts w:ascii="Times New Roman" w:hAnsi="Times New Roman" w:cs="Times New Roman"/>
          <w:sz w:val="20"/>
          <w:szCs w:val="20"/>
          <w:lang w:val="en-US"/>
        </w:rPr>
        <w:t xml:space="preserve">openness, </w:t>
      </w:r>
      <w:proofErr w:type="gramStart"/>
      <w:r w:rsidR="00150F35" w:rsidRPr="00195A5C">
        <w:rPr>
          <w:rFonts w:ascii="Times New Roman" w:hAnsi="Times New Roman" w:cs="Times New Roman"/>
          <w:sz w:val="20"/>
          <w:szCs w:val="20"/>
          <w:lang w:val="en-US"/>
        </w:rPr>
        <w:t>citizens</w:t>
      </w:r>
      <w:proofErr w:type="gramEnd"/>
      <w:r w:rsidR="00150F35"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95A5C">
        <w:rPr>
          <w:rFonts w:ascii="Times New Roman" w:hAnsi="Times New Roman" w:cs="Times New Roman"/>
          <w:sz w:val="20"/>
          <w:szCs w:val="20"/>
          <w:lang w:val="en-US"/>
        </w:rPr>
        <w:t xml:space="preserve">budget, </w:t>
      </w:r>
      <w:r w:rsidR="00150F35" w:rsidRPr="00195A5C">
        <w:rPr>
          <w:rFonts w:ascii="Times New Roman" w:hAnsi="Times New Roman" w:cs="Times New Roman"/>
          <w:sz w:val="20"/>
          <w:szCs w:val="20"/>
          <w:lang w:val="en-US"/>
        </w:rPr>
        <w:t>region of the Russian Federation</w:t>
      </w:r>
      <w:r w:rsidRPr="00195A5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C7989" w:rsidRPr="004E3980" w:rsidRDefault="009C7989" w:rsidP="009C7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3253B" w:rsidRPr="004E3980" w:rsidRDefault="001D4982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80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D4982" w:rsidRPr="004E3980" w:rsidRDefault="001D4982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4E3980">
        <w:rPr>
          <w:rFonts w:ascii="Times New Roman" w:hAnsi="Times New Roman" w:cs="Times New Roman"/>
          <w:sz w:val="20"/>
          <w:szCs w:val="20"/>
        </w:rPr>
        <w:t>Прозрачность в бюджетной сфере достигается посредством различных инструментов, одним из которых является «Бюджет для граждан». В статье проведен анализ открытости бюджетной информации в России по сравнению с другими странами, открытост</w:t>
      </w:r>
      <w:r w:rsidR="003F038C" w:rsidRPr="004E3980">
        <w:rPr>
          <w:rFonts w:ascii="Times New Roman" w:hAnsi="Times New Roman" w:cs="Times New Roman"/>
          <w:sz w:val="20"/>
          <w:szCs w:val="20"/>
        </w:rPr>
        <w:t>и</w:t>
      </w:r>
      <w:r w:rsidRPr="004E3980">
        <w:rPr>
          <w:rFonts w:ascii="Times New Roman" w:hAnsi="Times New Roman" w:cs="Times New Roman"/>
          <w:sz w:val="20"/>
          <w:szCs w:val="20"/>
        </w:rPr>
        <w:t xml:space="preserve"> бюджетных данных субъектов Российской Федерации</w:t>
      </w:r>
      <w:r w:rsidR="003F038C" w:rsidRPr="004E3980">
        <w:rPr>
          <w:rFonts w:ascii="Times New Roman" w:hAnsi="Times New Roman" w:cs="Times New Roman"/>
          <w:sz w:val="20"/>
          <w:szCs w:val="20"/>
        </w:rPr>
        <w:t xml:space="preserve">, </w:t>
      </w:r>
      <w:r w:rsidRPr="004E3980">
        <w:rPr>
          <w:rFonts w:ascii="Times New Roman" w:hAnsi="Times New Roman" w:cs="Times New Roman"/>
          <w:sz w:val="20"/>
          <w:szCs w:val="20"/>
        </w:rPr>
        <w:t>законодательств</w:t>
      </w:r>
      <w:r w:rsidR="003F038C" w:rsidRPr="004E3980">
        <w:rPr>
          <w:rFonts w:ascii="Times New Roman" w:hAnsi="Times New Roman" w:cs="Times New Roman"/>
          <w:sz w:val="20"/>
          <w:szCs w:val="20"/>
        </w:rPr>
        <w:t>а</w:t>
      </w:r>
      <w:r w:rsidRPr="004E3980">
        <w:rPr>
          <w:rFonts w:ascii="Times New Roman" w:hAnsi="Times New Roman" w:cs="Times New Roman"/>
          <w:sz w:val="20"/>
          <w:szCs w:val="20"/>
        </w:rPr>
        <w:t xml:space="preserve"> и практик</w:t>
      </w:r>
      <w:r w:rsidR="003F038C" w:rsidRPr="004E3980">
        <w:rPr>
          <w:rFonts w:ascii="Times New Roman" w:hAnsi="Times New Roman" w:cs="Times New Roman"/>
          <w:sz w:val="20"/>
          <w:szCs w:val="20"/>
        </w:rPr>
        <w:t>и</w:t>
      </w:r>
      <w:r w:rsidRPr="004E3980">
        <w:rPr>
          <w:rFonts w:ascii="Times New Roman" w:hAnsi="Times New Roman" w:cs="Times New Roman"/>
          <w:sz w:val="20"/>
          <w:szCs w:val="20"/>
        </w:rPr>
        <w:t xml:space="preserve"> представления бюджета для граждан субъектами Российской Федерации. По итогам проведенного исследования сформулированы предложения по совершенствованию реализации принципа </w:t>
      </w:r>
      <w:r w:rsidR="00FB64F7" w:rsidRPr="004E3980">
        <w:rPr>
          <w:rFonts w:ascii="Times New Roman" w:hAnsi="Times New Roman" w:cs="Times New Roman"/>
          <w:sz w:val="20"/>
          <w:szCs w:val="20"/>
        </w:rPr>
        <w:t xml:space="preserve">прозрачности </w:t>
      </w:r>
      <w:r w:rsidR="00FB64F7">
        <w:rPr>
          <w:rFonts w:ascii="Times New Roman" w:hAnsi="Times New Roman" w:cs="Times New Roman"/>
          <w:sz w:val="20"/>
          <w:szCs w:val="20"/>
        </w:rPr>
        <w:t>(</w:t>
      </w:r>
      <w:r w:rsidR="00AC0362" w:rsidRPr="004E3980">
        <w:rPr>
          <w:rFonts w:ascii="Times New Roman" w:hAnsi="Times New Roman" w:cs="Times New Roman"/>
          <w:sz w:val="20"/>
          <w:szCs w:val="20"/>
        </w:rPr>
        <w:t xml:space="preserve">открытости) </w:t>
      </w:r>
      <w:r w:rsidRPr="004E3980">
        <w:rPr>
          <w:rFonts w:ascii="Times New Roman" w:hAnsi="Times New Roman" w:cs="Times New Roman"/>
          <w:sz w:val="20"/>
          <w:szCs w:val="20"/>
        </w:rPr>
        <w:t>бюджет</w:t>
      </w:r>
      <w:r w:rsidR="003F038C" w:rsidRPr="004E3980">
        <w:rPr>
          <w:rFonts w:ascii="Times New Roman" w:hAnsi="Times New Roman" w:cs="Times New Roman"/>
          <w:sz w:val="20"/>
          <w:szCs w:val="20"/>
        </w:rPr>
        <w:t>ов</w:t>
      </w:r>
      <w:r w:rsidRPr="004E3980">
        <w:rPr>
          <w:rFonts w:ascii="Times New Roman" w:hAnsi="Times New Roman" w:cs="Times New Roman"/>
          <w:sz w:val="20"/>
          <w:szCs w:val="20"/>
        </w:rPr>
        <w:t xml:space="preserve"> </w:t>
      </w:r>
      <w:r w:rsidR="003F038C" w:rsidRPr="004E3980">
        <w:rPr>
          <w:rFonts w:ascii="Times New Roman" w:hAnsi="Times New Roman" w:cs="Times New Roman"/>
          <w:sz w:val="20"/>
          <w:szCs w:val="20"/>
        </w:rPr>
        <w:t xml:space="preserve">в </w:t>
      </w:r>
      <w:r w:rsidRPr="004E3980">
        <w:rPr>
          <w:rFonts w:ascii="Times New Roman" w:hAnsi="Times New Roman" w:cs="Times New Roman"/>
          <w:sz w:val="20"/>
          <w:szCs w:val="20"/>
        </w:rPr>
        <w:t>субъекта</w:t>
      </w:r>
      <w:r w:rsidR="003F038C" w:rsidRPr="004E3980">
        <w:rPr>
          <w:rFonts w:ascii="Times New Roman" w:hAnsi="Times New Roman" w:cs="Times New Roman"/>
          <w:sz w:val="20"/>
          <w:szCs w:val="20"/>
        </w:rPr>
        <w:t>х</w:t>
      </w:r>
      <w:r w:rsidRPr="004E3980">
        <w:rPr>
          <w:rFonts w:ascii="Times New Roman" w:hAnsi="Times New Roman" w:cs="Times New Roman"/>
          <w:sz w:val="20"/>
          <w:szCs w:val="20"/>
        </w:rPr>
        <w:t xml:space="preserve"> Российской Федерации посредством информационного ресурса «Бюджет для граждан».</w:t>
      </w:r>
    </w:p>
    <w:p w:rsidR="001D4982" w:rsidRPr="004E3980" w:rsidRDefault="003F038C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3980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AC0362" w:rsidRPr="004E3980" w:rsidRDefault="003F038C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Transparency in the budgetary sphere is achieved 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by means of </w:t>
      </w:r>
      <w:r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various instruments, one of which is 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«Citizens budget». Budget information openness in Russia in comparison to other countries, budget data openness in the Russian Federation regions, 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legislation </w:t>
      </w:r>
      <w:r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and practice of 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>the «Citizens budget» making in the Russian Federation regions are analyzed i</w:t>
      </w:r>
      <w:r w:rsidRPr="004E3980">
        <w:rPr>
          <w:rFonts w:ascii="Times New Roman" w:hAnsi="Times New Roman" w:cs="Times New Roman"/>
          <w:sz w:val="20"/>
          <w:szCs w:val="20"/>
          <w:lang w:val="en-US"/>
        </w:rPr>
        <w:t>n the article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Proposals for improving the implementation of the principle of budget </w:t>
      </w:r>
      <w:r w:rsidR="00FB64F7" w:rsidRPr="004E3980">
        <w:rPr>
          <w:rFonts w:ascii="Times New Roman" w:hAnsi="Times New Roman" w:cs="Times New Roman"/>
          <w:sz w:val="20"/>
          <w:szCs w:val="20"/>
          <w:lang w:val="en-US"/>
        </w:rPr>
        <w:t xml:space="preserve">transparency </w:t>
      </w:r>
      <w:r w:rsidR="00FB64F7" w:rsidRPr="00FB64F7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AC0362" w:rsidRPr="004E3980">
        <w:rPr>
          <w:rFonts w:ascii="Times New Roman" w:hAnsi="Times New Roman" w:cs="Times New Roman"/>
          <w:sz w:val="20"/>
          <w:szCs w:val="20"/>
          <w:lang w:val="en-US"/>
        </w:rPr>
        <w:t>openness) in the Russian Federation regions by the information resource «Citizens budget» are formulated.</w:t>
      </w:r>
    </w:p>
    <w:p w:rsidR="001D4982" w:rsidRPr="00602CA9" w:rsidRDefault="001D4982" w:rsidP="004A0C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/>
          <w:lang w:eastAsia="en-US"/>
        </w:rPr>
      </w:pPr>
      <w:r w:rsidRPr="00602CA9">
        <w:rPr>
          <w:rFonts w:eastAsiaTheme="minorHAnsi"/>
          <w:b/>
          <w:lang w:eastAsia="en-US"/>
        </w:rPr>
        <w:t>ОБЩЕЕ ОПИСАНИЕ</w:t>
      </w: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</w:pPr>
      <w:r w:rsidRPr="00E668F5">
        <w:t>Бюджетная система Российской Федерации построена на основополагающих принципах, заложенных в ст. 28 Бюджетного кодекса Российской Федерации. Одним из них является принцип прозрачности (открытости) бюджета.</w:t>
      </w: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</w:pPr>
      <w:r>
        <w:t>…</w:t>
      </w:r>
    </w:p>
    <w:p w:rsidR="00602CA9" w:rsidRP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/>
          <w:lang w:eastAsia="en-US"/>
        </w:rPr>
      </w:pP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/>
          <w:lang w:eastAsia="en-US"/>
        </w:rPr>
      </w:pPr>
      <w:r w:rsidRPr="00602CA9">
        <w:rPr>
          <w:rFonts w:eastAsiaTheme="minorHAnsi"/>
          <w:b/>
          <w:lang w:eastAsia="en-US"/>
        </w:rPr>
        <w:t>ЦЕЛИ И ЗАДАЧИ</w:t>
      </w: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</w:pPr>
      <w:r w:rsidRPr="00E668F5">
        <w:t>Правительство Российской Федерации активно внедряет различные мероприятия, способствующие максимальной реализации принципа прозрачности (открытости) бюджета. В 2012 г. Российская Федерация присоединилась к мировой инициативе «Партнерство по открытости государственного управления», благодаря которой развиваются различные формы участия граждан в управлении государством, обеспечивается открытость и подотчетность бюджетных сведений. Одним из проектов, способствующих реализации принципа прозрачности, является проект «Бюджет для граждан». Основная его цель – изложение бюджетного процесса и бюджетной политики публично-правового образования в простой и понятной форме для населения.</w:t>
      </w:r>
    </w:p>
    <w:p w:rsidR="00602CA9" w:rsidRDefault="00602CA9" w:rsidP="00602CA9">
      <w:pPr>
        <w:pStyle w:val="af4"/>
        <w:shd w:val="clear" w:color="auto" w:fill="FFFFFF"/>
        <w:spacing w:before="0" w:beforeAutospacing="0" w:after="0" w:afterAutospacing="0"/>
        <w:ind w:firstLine="426"/>
        <w:jc w:val="both"/>
      </w:pPr>
      <w:r>
        <w:t>…</w:t>
      </w:r>
    </w:p>
    <w:p w:rsidR="00613FF8" w:rsidRPr="00E668F5" w:rsidRDefault="009D7195" w:rsidP="0061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95">
        <w:rPr>
          <w:noProof/>
          <w:lang w:eastAsia="ru-RU"/>
        </w:rPr>
        <w:lastRenderedPageBreak/>
        <w:drawing>
          <wp:inline distT="0" distB="0" distL="0" distR="0">
            <wp:extent cx="5759450" cy="31317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F8" w:rsidRPr="00E668F5" w:rsidRDefault="00613FF8" w:rsidP="0061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8F5">
        <w:rPr>
          <w:rFonts w:ascii="Times New Roman" w:hAnsi="Times New Roman" w:cs="Times New Roman"/>
          <w:sz w:val="24"/>
          <w:szCs w:val="24"/>
        </w:rPr>
        <w:t>Рисунок 1</w:t>
      </w:r>
      <w:r w:rsidR="003866C5">
        <w:rPr>
          <w:rFonts w:ascii="Times New Roman" w:hAnsi="Times New Roman" w:cs="Times New Roman"/>
          <w:sz w:val="24"/>
          <w:szCs w:val="24"/>
        </w:rPr>
        <w:t>.</w:t>
      </w:r>
      <w:r w:rsidRPr="00E668F5">
        <w:rPr>
          <w:rFonts w:ascii="Times New Roman" w:hAnsi="Times New Roman" w:cs="Times New Roman"/>
          <w:sz w:val="24"/>
          <w:szCs w:val="24"/>
        </w:rPr>
        <w:t xml:space="preserve"> Значения индексов и рейтинг Российской Федерации по ним среди стран мира</w:t>
      </w:r>
      <w:r w:rsidR="00602CA9">
        <w:rPr>
          <w:rFonts w:ascii="Times New Roman" w:hAnsi="Times New Roman" w:cs="Times New Roman"/>
          <w:sz w:val="24"/>
          <w:szCs w:val="24"/>
        </w:rPr>
        <w:t>.</w:t>
      </w:r>
    </w:p>
    <w:p w:rsidR="00613FF8" w:rsidRPr="00195A5C" w:rsidRDefault="00EA739B" w:rsidP="00613FF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A739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95A5C">
        <w:rPr>
          <w:rFonts w:ascii="Times New Roman" w:hAnsi="Times New Roman" w:cs="Times New Roman"/>
          <w:sz w:val="24"/>
          <w:szCs w:val="24"/>
        </w:rPr>
        <w:t>&gt;</w:t>
      </w:r>
    </w:p>
    <w:p w:rsidR="00EA739B" w:rsidRDefault="009516D0" w:rsidP="00602C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68F5">
        <w:rPr>
          <w:rFonts w:ascii="Times New Roman" w:hAnsi="Times New Roman" w:cs="Times New Roman"/>
          <w:sz w:val="24"/>
          <w:szCs w:val="24"/>
        </w:rPr>
        <w:t xml:space="preserve">Международное бюджетное партнерство систематизирует опыт различных стран </w:t>
      </w:r>
      <w:r w:rsidR="00AD63A4" w:rsidRPr="00E668F5">
        <w:rPr>
          <w:rFonts w:ascii="Times New Roman" w:hAnsi="Times New Roman" w:cs="Times New Roman"/>
          <w:sz w:val="24"/>
          <w:szCs w:val="24"/>
        </w:rPr>
        <w:t xml:space="preserve">по формированию и представлению бюджета для граждан. </w:t>
      </w:r>
      <w:r w:rsidR="00AE148D" w:rsidRPr="00E668F5">
        <w:rPr>
          <w:rFonts w:ascii="Times New Roman" w:hAnsi="Times New Roman" w:cs="Times New Roman"/>
          <w:sz w:val="24"/>
          <w:szCs w:val="24"/>
        </w:rPr>
        <w:t>Различные страны представляют бюджеты для граждан в разном формате или на пересечении форматов (таблица 1).</w:t>
      </w:r>
    </w:p>
    <w:p w:rsidR="00602CA9" w:rsidRDefault="00602CA9" w:rsidP="00602C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E148D" w:rsidRPr="00E668F5" w:rsidRDefault="00AE148D" w:rsidP="00AE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8F5">
        <w:rPr>
          <w:rFonts w:ascii="Times New Roman" w:hAnsi="Times New Roman" w:cs="Times New Roman"/>
          <w:sz w:val="24"/>
          <w:szCs w:val="24"/>
        </w:rPr>
        <w:t>Таблица 1</w:t>
      </w:r>
      <w:r w:rsidR="003866C5">
        <w:rPr>
          <w:rFonts w:ascii="Times New Roman" w:hAnsi="Times New Roman" w:cs="Times New Roman"/>
          <w:sz w:val="24"/>
          <w:szCs w:val="24"/>
        </w:rPr>
        <w:t>.</w:t>
      </w:r>
      <w:r w:rsidRPr="00E668F5">
        <w:rPr>
          <w:rFonts w:ascii="Times New Roman" w:hAnsi="Times New Roman" w:cs="Times New Roman"/>
          <w:sz w:val="24"/>
          <w:szCs w:val="24"/>
        </w:rPr>
        <w:t xml:space="preserve"> Формат представления бюджетов для граждан в различных странах мира</w:t>
      </w:r>
      <w:r w:rsidR="00602C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5000" w:type="pct"/>
        <w:tblLook w:val="04A0"/>
      </w:tblPr>
      <w:tblGrid>
        <w:gridCol w:w="1212"/>
        <w:gridCol w:w="3050"/>
        <w:gridCol w:w="5024"/>
      </w:tblGrid>
      <w:tr w:rsidR="00AE148D" w:rsidRPr="003866C5" w:rsidTr="00AE148D">
        <w:tc>
          <w:tcPr>
            <w:tcW w:w="653" w:type="pct"/>
          </w:tcPr>
          <w:p w:rsidR="00AE148D" w:rsidRPr="003866C5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866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866C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42" w:type="pct"/>
          </w:tcPr>
          <w:p w:rsidR="00AE148D" w:rsidRPr="003866C5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b/>
                <w:sz w:val="20"/>
                <w:szCs w:val="20"/>
              </w:rPr>
              <w:t>Формат бюджета для граждан</w:t>
            </w:r>
          </w:p>
        </w:tc>
        <w:tc>
          <w:tcPr>
            <w:tcW w:w="2704" w:type="pct"/>
          </w:tcPr>
          <w:p w:rsidR="00AE148D" w:rsidRPr="003866C5" w:rsidRDefault="00AE148D" w:rsidP="00AE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b/>
                <w:sz w:val="20"/>
                <w:szCs w:val="20"/>
              </w:rPr>
              <w:t>Страны</w:t>
            </w:r>
          </w:p>
        </w:tc>
      </w:tr>
      <w:tr w:rsidR="00AE148D" w:rsidRPr="003866C5" w:rsidTr="00AE148D">
        <w:tc>
          <w:tcPr>
            <w:tcW w:w="653" w:type="pct"/>
          </w:tcPr>
          <w:p w:rsidR="00AE148D" w:rsidRPr="003866C5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pct"/>
          </w:tcPr>
          <w:p w:rsidR="00AE148D" w:rsidRPr="003866C5" w:rsidRDefault="00AE148D" w:rsidP="00C5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 xml:space="preserve">Всеобъемлющий доклад </w:t>
            </w:r>
          </w:p>
        </w:tc>
        <w:tc>
          <w:tcPr>
            <w:tcW w:w="2704" w:type="pct"/>
          </w:tcPr>
          <w:p w:rsidR="00AE148D" w:rsidRPr="003866C5" w:rsidRDefault="00AE148D" w:rsidP="00AE1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>Бразилия, Гана, Мексика, Норвегия, Филиппины, Чили</w:t>
            </w:r>
          </w:p>
        </w:tc>
      </w:tr>
      <w:tr w:rsidR="00AE148D" w:rsidRPr="003866C5" w:rsidTr="00AE148D">
        <w:tc>
          <w:tcPr>
            <w:tcW w:w="653" w:type="pct"/>
          </w:tcPr>
          <w:p w:rsidR="00AE148D" w:rsidRPr="003866C5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pct"/>
          </w:tcPr>
          <w:p w:rsidR="00AE148D" w:rsidRPr="003866C5" w:rsidRDefault="00AE148D" w:rsidP="00AE1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>Графика и визуализация данных</w:t>
            </w:r>
          </w:p>
        </w:tc>
        <w:tc>
          <w:tcPr>
            <w:tcW w:w="2704" w:type="pct"/>
          </w:tcPr>
          <w:p w:rsidR="00AE148D" w:rsidRPr="003866C5" w:rsidRDefault="00AE148D" w:rsidP="00AE1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>Доминиканская республика, Перу, Филиппины, Тунис</w:t>
            </w:r>
          </w:p>
        </w:tc>
      </w:tr>
      <w:tr w:rsidR="00AE148D" w:rsidRPr="003866C5" w:rsidTr="00AE148D">
        <w:tc>
          <w:tcPr>
            <w:tcW w:w="653" w:type="pct"/>
          </w:tcPr>
          <w:p w:rsidR="00AE148D" w:rsidRPr="003866C5" w:rsidRDefault="00AE148D" w:rsidP="00AE148D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pct"/>
          </w:tcPr>
          <w:p w:rsidR="00AE148D" w:rsidRPr="003866C5" w:rsidRDefault="00AE148D" w:rsidP="00AE1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>Иллюстрации и комиксы</w:t>
            </w:r>
          </w:p>
        </w:tc>
        <w:tc>
          <w:tcPr>
            <w:tcW w:w="2704" w:type="pct"/>
          </w:tcPr>
          <w:p w:rsidR="00AE148D" w:rsidRPr="003866C5" w:rsidRDefault="00AE148D" w:rsidP="00AE1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6C5">
              <w:rPr>
                <w:rFonts w:ascii="Times New Roman" w:hAnsi="Times New Roman" w:cs="Times New Roman"/>
                <w:sz w:val="20"/>
                <w:szCs w:val="20"/>
              </w:rPr>
              <w:t>Афганистан, Руанда, Танзания</w:t>
            </w:r>
          </w:p>
        </w:tc>
      </w:tr>
    </w:tbl>
    <w:p w:rsidR="009516D0" w:rsidRPr="00E668F5" w:rsidRDefault="009516D0" w:rsidP="009C7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E148D" w:rsidRPr="00E668F5" w:rsidRDefault="00AE148D" w:rsidP="009C7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68F5">
        <w:rPr>
          <w:rFonts w:ascii="Times New Roman" w:hAnsi="Times New Roman" w:cs="Times New Roman"/>
          <w:sz w:val="24"/>
          <w:szCs w:val="24"/>
        </w:rPr>
        <w:t xml:space="preserve">Изучение международного опыта </w:t>
      </w:r>
      <w:r w:rsidR="00C516CF" w:rsidRPr="00E668F5">
        <w:rPr>
          <w:rFonts w:ascii="Times New Roman" w:hAnsi="Times New Roman" w:cs="Times New Roman"/>
          <w:sz w:val="24"/>
          <w:szCs w:val="24"/>
        </w:rPr>
        <w:t>показывает, что преобладает неформальное представление бюджетных данных. Нет единой структуры подачи информации, она может быть представлена в очень кратком виде, например, в качестве постера (Индонезия), бюллетеня (ЮАР) или многостраничного документа.</w:t>
      </w:r>
    </w:p>
    <w:p w:rsidR="00EA739B" w:rsidRPr="00195A5C" w:rsidRDefault="00EA739B" w:rsidP="009C7989">
      <w:pPr>
        <w:tabs>
          <w:tab w:val="left" w:pos="9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95A5C">
        <w:rPr>
          <w:rFonts w:ascii="Times New Roman" w:hAnsi="Times New Roman" w:cs="Times New Roman"/>
          <w:sz w:val="24"/>
          <w:szCs w:val="24"/>
        </w:rPr>
        <w:t>&lt;…&gt;</w:t>
      </w:r>
    </w:p>
    <w:p w:rsidR="0033253B" w:rsidRPr="00E668F5" w:rsidRDefault="0033253B" w:rsidP="009C7989">
      <w:pPr>
        <w:tabs>
          <w:tab w:val="left" w:pos="9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68F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3520B" w:rsidRPr="00E668F5">
        <w:rPr>
          <w:rFonts w:ascii="Times New Roman" w:hAnsi="Times New Roman" w:cs="Times New Roman"/>
          <w:sz w:val="24"/>
          <w:szCs w:val="24"/>
        </w:rPr>
        <w:t>д</w:t>
      </w:r>
      <w:r w:rsidRPr="00E668F5">
        <w:rPr>
          <w:rFonts w:ascii="Times New Roman" w:hAnsi="Times New Roman" w:cs="Times New Roman"/>
          <w:sz w:val="24"/>
          <w:szCs w:val="24"/>
        </w:rPr>
        <w:t xml:space="preserve">ля достижения желаемых результатов по повышению прозрачности и открытости бюджетных данных следует внедрить в практику предложенные </w:t>
      </w:r>
      <w:r w:rsidR="0037181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E668F5">
        <w:rPr>
          <w:rFonts w:ascii="Times New Roman" w:hAnsi="Times New Roman" w:cs="Times New Roman"/>
          <w:sz w:val="24"/>
          <w:szCs w:val="24"/>
        </w:rPr>
        <w:t xml:space="preserve">совершенствования бюджета для граждан. </w:t>
      </w:r>
      <w:r w:rsidR="0053520B" w:rsidRPr="00E668F5">
        <w:rPr>
          <w:rFonts w:ascii="Times New Roman" w:hAnsi="Times New Roman" w:cs="Times New Roman"/>
          <w:sz w:val="24"/>
          <w:szCs w:val="24"/>
        </w:rPr>
        <w:t xml:space="preserve">Стоит отметить, что бюджет для граждан является лишь частью процесса повышения прозрачности (открытости) бюджетных данных. Добиться максимальных результатов по повышению степени </w:t>
      </w:r>
      <w:r w:rsidR="00371818" w:rsidRPr="00E668F5">
        <w:rPr>
          <w:rFonts w:ascii="Times New Roman" w:hAnsi="Times New Roman" w:cs="Times New Roman"/>
          <w:sz w:val="24"/>
          <w:szCs w:val="24"/>
        </w:rPr>
        <w:t xml:space="preserve">прозрачности (открытости) </w:t>
      </w:r>
      <w:r w:rsidR="0053520B" w:rsidRPr="00E668F5">
        <w:rPr>
          <w:rFonts w:ascii="Times New Roman" w:hAnsi="Times New Roman" w:cs="Times New Roman"/>
          <w:sz w:val="24"/>
          <w:szCs w:val="24"/>
        </w:rPr>
        <w:t>бюджетных данных можно только, используя все механизмы «Открытого бюджета». Б</w:t>
      </w:r>
      <w:r w:rsidRPr="00E668F5">
        <w:rPr>
          <w:rFonts w:ascii="Times New Roman" w:hAnsi="Times New Roman" w:cs="Times New Roman"/>
          <w:sz w:val="24"/>
          <w:szCs w:val="24"/>
        </w:rPr>
        <w:t xml:space="preserve">юджет для граждан является частью процесса повышения прозрачности (открытости) бюджетных данных и способен обеспечить взаимодействие нового уровня между гражданами и государственными органами. </w:t>
      </w:r>
      <w:r w:rsidR="0053520B" w:rsidRPr="00E668F5">
        <w:rPr>
          <w:rFonts w:ascii="Times New Roman" w:hAnsi="Times New Roman" w:cs="Times New Roman"/>
          <w:sz w:val="24"/>
          <w:szCs w:val="24"/>
        </w:rPr>
        <w:t>Но п</w:t>
      </w:r>
      <w:r w:rsidRPr="00E668F5">
        <w:rPr>
          <w:rFonts w:ascii="Times New Roman" w:hAnsi="Times New Roman" w:cs="Times New Roman"/>
          <w:sz w:val="24"/>
          <w:szCs w:val="24"/>
        </w:rPr>
        <w:t>ри отсутствии интереса со стороны населения сводятся на нет попытки повышения открытости бюджетных данных. Следует заинтересовывать граждан, привлекать их в бюджетный процесс, подталкивать к изучению бюджета, повышая финансовую грамотность населения. Интерес граждан к бюджету является важн</w:t>
      </w:r>
      <w:r w:rsidR="0053520B" w:rsidRPr="00E668F5">
        <w:rPr>
          <w:rFonts w:ascii="Times New Roman" w:hAnsi="Times New Roman" w:cs="Times New Roman"/>
          <w:sz w:val="24"/>
          <w:szCs w:val="24"/>
        </w:rPr>
        <w:t>ейшим</w:t>
      </w:r>
      <w:r w:rsidRPr="00E668F5">
        <w:rPr>
          <w:rFonts w:ascii="Times New Roman" w:hAnsi="Times New Roman" w:cs="Times New Roman"/>
          <w:sz w:val="24"/>
          <w:szCs w:val="24"/>
        </w:rPr>
        <w:t xml:space="preserve"> </w:t>
      </w:r>
      <w:r w:rsidR="0053520B" w:rsidRPr="00E668F5">
        <w:rPr>
          <w:rFonts w:ascii="Times New Roman" w:hAnsi="Times New Roman" w:cs="Times New Roman"/>
          <w:sz w:val="24"/>
          <w:szCs w:val="24"/>
        </w:rPr>
        <w:t>аспектом</w:t>
      </w:r>
      <w:r w:rsidRPr="00E668F5">
        <w:rPr>
          <w:rFonts w:ascii="Times New Roman" w:hAnsi="Times New Roman" w:cs="Times New Roman"/>
          <w:sz w:val="24"/>
          <w:szCs w:val="24"/>
        </w:rPr>
        <w:t xml:space="preserve"> реализации принципа прозрачности (открытости) бюджет</w:t>
      </w:r>
      <w:r w:rsidR="00371818">
        <w:rPr>
          <w:rFonts w:ascii="Times New Roman" w:hAnsi="Times New Roman" w:cs="Times New Roman"/>
          <w:sz w:val="24"/>
          <w:szCs w:val="24"/>
        </w:rPr>
        <w:t>а</w:t>
      </w:r>
      <w:r w:rsidRPr="00E66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9E2" w:rsidRPr="00602CA9" w:rsidRDefault="001A39E2" w:rsidP="001A39E2">
      <w:pPr>
        <w:pStyle w:val="a9"/>
        <w:tabs>
          <w:tab w:val="left" w:pos="851"/>
        </w:tabs>
        <w:jc w:val="both"/>
        <w:rPr>
          <w:rFonts w:ascii="Times New Roman" w:hAnsi="Times New Roman" w:cs="Times New Roman"/>
        </w:rPr>
      </w:pPr>
    </w:p>
    <w:sectPr w:rsidR="001A39E2" w:rsidRPr="00602CA9" w:rsidSect="00713DEC"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D3" w:rsidRDefault="002678D3" w:rsidP="00683D0A">
      <w:pPr>
        <w:spacing w:after="0" w:line="240" w:lineRule="auto"/>
      </w:pPr>
      <w:r>
        <w:separator/>
      </w:r>
    </w:p>
  </w:endnote>
  <w:endnote w:type="continuationSeparator" w:id="0">
    <w:p w:rsidR="002678D3" w:rsidRDefault="002678D3" w:rsidP="0068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26082610"/>
      <w:docPartObj>
        <w:docPartGallery w:val="Page Numbers (Bottom of Page)"/>
        <w:docPartUnique/>
      </w:docPartObj>
    </w:sdtPr>
    <w:sdtContent>
      <w:p w:rsidR="00C516CF" w:rsidRPr="00527BA0" w:rsidRDefault="000B34A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7B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516CF" w:rsidRPr="00527B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7B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2C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7B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D3" w:rsidRDefault="002678D3" w:rsidP="00683D0A">
      <w:pPr>
        <w:spacing w:after="0" w:line="240" w:lineRule="auto"/>
      </w:pPr>
      <w:r>
        <w:separator/>
      </w:r>
    </w:p>
  </w:footnote>
  <w:footnote w:type="continuationSeparator" w:id="0">
    <w:p w:rsidR="002678D3" w:rsidRDefault="002678D3" w:rsidP="0068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42"/>
    <w:multiLevelType w:val="hybridMultilevel"/>
    <w:tmpl w:val="FEDE305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4F23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05010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1FEC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562D0"/>
    <w:multiLevelType w:val="hybridMultilevel"/>
    <w:tmpl w:val="06544906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D3E8E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DA04B7"/>
    <w:multiLevelType w:val="hybridMultilevel"/>
    <w:tmpl w:val="2348CE1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7572C2"/>
    <w:multiLevelType w:val="hybridMultilevel"/>
    <w:tmpl w:val="B7EA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F1F5C"/>
    <w:multiLevelType w:val="hybridMultilevel"/>
    <w:tmpl w:val="8E08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C513A"/>
    <w:multiLevelType w:val="hybridMultilevel"/>
    <w:tmpl w:val="BE5448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160313A"/>
    <w:multiLevelType w:val="hybridMultilevel"/>
    <w:tmpl w:val="94EA6BB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036A4"/>
    <w:multiLevelType w:val="hybridMultilevel"/>
    <w:tmpl w:val="D97056E8"/>
    <w:lvl w:ilvl="0" w:tplc="18E2E4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90549"/>
    <w:multiLevelType w:val="hybridMultilevel"/>
    <w:tmpl w:val="2C5E7F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9523D"/>
    <w:multiLevelType w:val="hybridMultilevel"/>
    <w:tmpl w:val="5FAE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EC"/>
    <w:rsid w:val="000836E4"/>
    <w:rsid w:val="000B013C"/>
    <w:rsid w:val="000B0FC5"/>
    <w:rsid w:val="000B34A8"/>
    <w:rsid w:val="000F6B87"/>
    <w:rsid w:val="00150F35"/>
    <w:rsid w:val="00153112"/>
    <w:rsid w:val="00182791"/>
    <w:rsid w:val="00195A5C"/>
    <w:rsid w:val="001A39E2"/>
    <w:rsid w:val="001D4982"/>
    <w:rsid w:val="001F17D9"/>
    <w:rsid w:val="002678D3"/>
    <w:rsid w:val="002B5A23"/>
    <w:rsid w:val="002C3484"/>
    <w:rsid w:val="002E0868"/>
    <w:rsid w:val="002F1D5E"/>
    <w:rsid w:val="002F458D"/>
    <w:rsid w:val="0033253B"/>
    <w:rsid w:val="00371818"/>
    <w:rsid w:val="003866C5"/>
    <w:rsid w:val="003A40ED"/>
    <w:rsid w:val="003F038C"/>
    <w:rsid w:val="0044781E"/>
    <w:rsid w:val="00475CDA"/>
    <w:rsid w:val="004842C2"/>
    <w:rsid w:val="004A0CB9"/>
    <w:rsid w:val="004A13AD"/>
    <w:rsid w:val="004B3AE9"/>
    <w:rsid w:val="004D169B"/>
    <w:rsid w:val="004E3980"/>
    <w:rsid w:val="004F0DA4"/>
    <w:rsid w:val="004F13D7"/>
    <w:rsid w:val="00527BA0"/>
    <w:rsid w:val="0053520B"/>
    <w:rsid w:val="005C55B9"/>
    <w:rsid w:val="005E2D93"/>
    <w:rsid w:val="006003DD"/>
    <w:rsid w:val="00602CA9"/>
    <w:rsid w:val="00613FF8"/>
    <w:rsid w:val="00657D23"/>
    <w:rsid w:val="00683D0A"/>
    <w:rsid w:val="00691965"/>
    <w:rsid w:val="006B16A6"/>
    <w:rsid w:val="006F398F"/>
    <w:rsid w:val="00713DEC"/>
    <w:rsid w:val="0073120E"/>
    <w:rsid w:val="00875CF2"/>
    <w:rsid w:val="008B525F"/>
    <w:rsid w:val="008E029E"/>
    <w:rsid w:val="009516D0"/>
    <w:rsid w:val="00965768"/>
    <w:rsid w:val="009A7F16"/>
    <w:rsid w:val="009B0324"/>
    <w:rsid w:val="009C01EF"/>
    <w:rsid w:val="009C7989"/>
    <w:rsid w:val="009D7195"/>
    <w:rsid w:val="009E02AF"/>
    <w:rsid w:val="00A640AD"/>
    <w:rsid w:val="00AC0362"/>
    <w:rsid w:val="00AC22FF"/>
    <w:rsid w:val="00AD5692"/>
    <w:rsid w:val="00AD63A4"/>
    <w:rsid w:val="00AE148D"/>
    <w:rsid w:val="00B53E13"/>
    <w:rsid w:val="00B55978"/>
    <w:rsid w:val="00C12432"/>
    <w:rsid w:val="00C516CF"/>
    <w:rsid w:val="00C62C6A"/>
    <w:rsid w:val="00CA2E92"/>
    <w:rsid w:val="00CB77CD"/>
    <w:rsid w:val="00CD1814"/>
    <w:rsid w:val="00CE46E5"/>
    <w:rsid w:val="00D90F8C"/>
    <w:rsid w:val="00D95985"/>
    <w:rsid w:val="00DB0A5D"/>
    <w:rsid w:val="00DD554E"/>
    <w:rsid w:val="00DF4D0F"/>
    <w:rsid w:val="00E213CE"/>
    <w:rsid w:val="00E504D0"/>
    <w:rsid w:val="00E52717"/>
    <w:rsid w:val="00E668F5"/>
    <w:rsid w:val="00EA36B0"/>
    <w:rsid w:val="00EA739B"/>
    <w:rsid w:val="00ED46F1"/>
    <w:rsid w:val="00EE04EB"/>
    <w:rsid w:val="00F40FE0"/>
    <w:rsid w:val="00FB64F7"/>
    <w:rsid w:val="00FC76B2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B2"/>
  </w:style>
  <w:style w:type="paragraph" w:styleId="1">
    <w:name w:val="heading 1"/>
    <w:basedOn w:val="a"/>
    <w:link w:val="10"/>
    <w:uiPriority w:val="9"/>
    <w:qFormat/>
    <w:rsid w:val="0065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D0A"/>
  </w:style>
  <w:style w:type="paragraph" w:styleId="a7">
    <w:name w:val="footer"/>
    <w:basedOn w:val="a"/>
    <w:link w:val="a8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D0A"/>
  </w:style>
  <w:style w:type="paragraph" w:styleId="a9">
    <w:name w:val="footnote text"/>
    <w:basedOn w:val="a"/>
    <w:link w:val="aa"/>
    <w:uiPriority w:val="99"/>
    <w:unhideWhenUsed/>
    <w:rsid w:val="004A13A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13A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3AD"/>
    <w:rPr>
      <w:vertAlign w:val="superscript"/>
    </w:rPr>
  </w:style>
  <w:style w:type="paragraph" w:styleId="ac">
    <w:name w:val="List Paragraph"/>
    <w:basedOn w:val="a"/>
    <w:uiPriority w:val="34"/>
    <w:qFormat/>
    <w:rsid w:val="008E02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213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E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C22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22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22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22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22FF"/>
    <w:rPr>
      <w:b/>
      <w:bCs/>
      <w:sz w:val="20"/>
      <w:szCs w:val="20"/>
    </w:rPr>
  </w:style>
  <w:style w:type="paragraph" w:styleId="af4">
    <w:name w:val="Normal (Web)"/>
    <w:basedOn w:val="a"/>
    <w:rsid w:val="0060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D0A"/>
  </w:style>
  <w:style w:type="paragraph" w:styleId="a7">
    <w:name w:val="footer"/>
    <w:basedOn w:val="a"/>
    <w:link w:val="a8"/>
    <w:uiPriority w:val="99"/>
    <w:unhideWhenUsed/>
    <w:rsid w:val="0068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D0A"/>
  </w:style>
  <w:style w:type="paragraph" w:styleId="a9">
    <w:name w:val="footnote text"/>
    <w:basedOn w:val="a"/>
    <w:link w:val="aa"/>
    <w:uiPriority w:val="99"/>
    <w:unhideWhenUsed/>
    <w:rsid w:val="004A13A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13A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3AD"/>
    <w:rPr>
      <w:vertAlign w:val="superscript"/>
    </w:rPr>
  </w:style>
  <w:style w:type="paragraph" w:styleId="ac">
    <w:name w:val="List Paragraph"/>
    <w:basedOn w:val="a"/>
    <w:uiPriority w:val="34"/>
    <w:qFormat/>
    <w:rsid w:val="008E02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213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E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C22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22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22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22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22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269F-7EA8-4D9A-972B-C1104256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dcterms:created xsi:type="dcterms:W3CDTF">2017-12-24T15:19:00Z</dcterms:created>
  <dcterms:modified xsi:type="dcterms:W3CDTF">2018-02-01T22:57:00Z</dcterms:modified>
</cp:coreProperties>
</file>