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4E" w:rsidRPr="00513E4E" w:rsidRDefault="00FE4F41" w:rsidP="00513E4E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513E4E">
        <w:rPr>
          <w:rFonts w:ascii="Times New Roman" w:hAnsi="Times New Roman" w:cs="Times New Roman"/>
          <w:b w:val="0"/>
          <w:color w:val="auto"/>
        </w:rPr>
        <w:t xml:space="preserve">УДК </w:t>
      </w:r>
      <w:r w:rsidR="00513E4E" w:rsidRPr="00513E4E">
        <w:rPr>
          <w:rFonts w:ascii="Times New Roman" w:hAnsi="Times New Roman" w:cs="Times New Roman"/>
          <w:b w:val="0"/>
          <w:color w:val="auto"/>
        </w:rPr>
        <w:t xml:space="preserve">369.57 </w:t>
      </w:r>
    </w:p>
    <w:p w:rsidR="00FE4F41" w:rsidRPr="00513E4E" w:rsidRDefault="00FE4F41" w:rsidP="00513E4E">
      <w:pPr>
        <w:jc w:val="right"/>
      </w:pPr>
      <w:r w:rsidRPr="00513E4E">
        <w:t xml:space="preserve">ББК </w:t>
      </w:r>
      <w:r w:rsidR="00513E4E" w:rsidRPr="00513E4E">
        <w:t>65.9(2) 248</w:t>
      </w:r>
    </w:p>
    <w:p w:rsidR="009D3248" w:rsidRPr="00493D4F" w:rsidRDefault="009D3248" w:rsidP="009D3248">
      <w:pPr>
        <w:jc w:val="center"/>
        <w:rPr>
          <w:b/>
          <w:sz w:val="32"/>
          <w:szCs w:val="32"/>
        </w:rPr>
      </w:pPr>
      <w:r w:rsidRPr="00493D4F">
        <w:rPr>
          <w:b/>
          <w:sz w:val="32"/>
          <w:szCs w:val="32"/>
        </w:rPr>
        <w:t xml:space="preserve">ПЕРСПЕКТИВЫ ВНЕДРЕНИЯ </w:t>
      </w:r>
    </w:p>
    <w:p w:rsidR="009D3248" w:rsidRPr="00493D4F" w:rsidRDefault="009D3248" w:rsidP="009D3248">
      <w:pPr>
        <w:jc w:val="center"/>
        <w:rPr>
          <w:b/>
          <w:sz w:val="32"/>
          <w:szCs w:val="32"/>
        </w:rPr>
      </w:pPr>
      <w:r w:rsidRPr="00493D4F">
        <w:rPr>
          <w:b/>
          <w:sz w:val="32"/>
          <w:szCs w:val="32"/>
        </w:rPr>
        <w:t xml:space="preserve">КОРПОРАТИВНЫХ ПЕНСИОННЫХ ПРОГРАММ </w:t>
      </w:r>
    </w:p>
    <w:p w:rsidR="00423513" w:rsidRPr="00493D4F" w:rsidRDefault="009D3248" w:rsidP="009D3248">
      <w:pPr>
        <w:jc w:val="center"/>
        <w:rPr>
          <w:b/>
          <w:sz w:val="32"/>
          <w:szCs w:val="32"/>
        </w:rPr>
      </w:pPr>
      <w:r w:rsidRPr="00493D4F">
        <w:rPr>
          <w:b/>
          <w:sz w:val="32"/>
          <w:szCs w:val="32"/>
        </w:rPr>
        <w:t>В РОССИЙСКИХ КОМПАНИЯХ</w:t>
      </w:r>
    </w:p>
    <w:p w:rsidR="009D3248" w:rsidRPr="00B114CC" w:rsidRDefault="009D3248" w:rsidP="009D3248">
      <w:pPr>
        <w:jc w:val="center"/>
        <w:rPr>
          <w:b/>
        </w:rPr>
      </w:pPr>
    </w:p>
    <w:p w:rsidR="009D3248" w:rsidRPr="009D23B7" w:rsidRDefault="00FE4F41" w:rsidP="00FE4F41">
      <w:pPr>
        <w:jc w:val="right"/>
        <w:rPr>
          <w:b/>
          <w:caps/>
          <w:sz w:val="28"/>
          <w:szCs w:val="28"/>
        </w:rPr>
      </w:pPr>
      <w:r w:rsidRPr="009D23B7">
        <w:rPr>
          <w:b/>
          <w:sz w:val="28"/>
          <w:szCs w:val="28"/>
        </w:rPr>
        <w:t>Э.</w:t>
      </w:r>
      <w:r w:rsidRPr="009D23B7">
        <w:rPr>
          <w:b/>
          <w:sz w:val="28"/>
          <w:szCs w:val="28"/>
          <w:lang w:val="en-US"/>
        </w:rPr>
        <w:t>A</w:t>
      </w:r>
      <w:r w:rsidRPr="009D23B7">
        <w:rPr>
          <w:b/>
          <w:sz w:val="28"/>
          <w:szCs w:val="28"/>
        </w:rPr>
        <w:t>. Черников</w:t>
      </w:r>
      <w:r w:rsidRPr="009D23B7">
        <w:rPr>
          <w:rStyle w:val="ad"/>
          <w:sz w:val="28"/>
          <w:szCs w:val="28"/>
        </w:rPr>
        <w:endnoteReference w:customMarkFollows="1" w:id="2"/>
        <w:sym w:font="Symbol" w:char="F031"/>
      </w:r>
    </w:p>
    <w:p w:rsidR="009D3248" w:rsidRPr="00FE4F41" w:rsidRDefault="009D3248" w:rsidP="00D62DAB">
      <w:pPr>
        <w:pStyle w:val="2"/>
        <w:ind w:firstLine="0"/>
        <w:jc w:val="right"/>
        <w:rPr>
          <w:i/>
        </w:rPr>
      </w:pPr>
      <w:r w:rsidRPr="00FE4F41">
        <w:rPr>
          <w:i/>
        </w:rPr>
        <w:t>Петербургский государственный университет путей сообщения (ПГУПС</w:t>
      </w:r>
      <w:r w:rsidRPr="00FE4F41">
        <w:rPr>
          <w:i/>
        </w:rPr>
        <w:sym w:font="Symbol" w:char="F02D"/>
      </w:r>
      <w:r w:rsidRPr="00FE4F41">
        <w:rPr>
          <w:i/>
        </w:rPr>
        <w:t>ЛИИЖТ)</w:t>
      </w:r>
    </w:p>
    <w:p w:rsidR="009D3248" w:rsidRPr="00A200CE" w:rsidRDefault="009D3248" w:rsidP="00D62DAB">
      <w:pPr>
        <w:pStyle w:val="2"/>
        <w:spacing w:after="120"/>
        <w:ind w:firstLine="0"/>
        <w:jc w:val="right"/>
        <w:rPr>
          <w:i/>
        </w:rPr>
      </w:pPr>
      <w:smartTag w:uri="urn:schemas-microsoft-com:office:smarttags" w:element="metricconverter">
        <w:smartTagPr>
          <w:attr w:name="ProductID" w:val="190031, г"/>
        </w:smartTagPr>
        <w:r w:rsidRPr="00FE4F41">
          <w:rPr>
            <w:i/>
          </w:rPr>
          <w:t>190031, г</w:t>
        </w:r>
      </w:smartTag>
      <w:r w:rsidRPr="00FE4F41">
        <w:rPr>
          <w:i/>
        </w:rPr>
        <w:t xml:space="preserve">. Санкт-Петербург, Московский пр., 9, </w:t>
      </w:r>
    </w:p>
    <w:p w:rsidR="009B6834" w:rsidRDefault="009B6834" w:rsidP="009B6834">
      <w:pPr>
        <w:autoSpaceDE w:val="0"/>
        <w:autoSpaceDN w:val="0"/>
        <w:adjustRightInd w:val="0"/>
        <w:ind w:firstLine="397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CD66C6" w:rsidRPr="00FE4F41" w:rsidRDefault="00FE4F41" w:rsidP="009D23B7">
      <w:pPr>
        <w:pStyle w:val="Annotation"/>
        <w:ind w:left="709"/>
        <w:rPr>
          <w:sz w:val="22"/>
          <w:szCs w:val="22"/>
        </w:rPr>
      </w:pPr>
      <w:r w:rsidRPr="00FE4F41">
        <w:rPr>
          <w:sz w:val="22"/>
          <w:szCs w:val="22"/>
        </w:rPr>
        <w:t>О</w:t>
      </w:r>
      <w:r w:rsidR="00CD66C6" w:rsidRPr="00FE4F41">
        <w:rPr>
          <w:sz w:val="22"/>
          <w:szCs w:val="22"/>
        </w:rPr>
        <w:t>боснована необходимость внедрения корпоративных пенсионных программ в росси</w:t>
      </w:r>
      <w:r w:rsidR="00CD66C6" w:rsidRPr="00FE4F41">
        <w:rPr>
          <w:sz w:val="22"/>
          <w:szCs w:val="22"/>
        </w:rPr>
        <w:t>й</w:t>
      </w:r>
      <w:r w:rsidR="00CD66C6" w:rsidRPr="00FE4F41">
        <w:rPr>
          <w:sz w:val="22"/>
          <w:szCs w:val="22"/>
        </w:rPr>
        <w:t>ских компаниях, также рассмотрены вопросы повышения роли НПФ в развитии добр</w:t>
      </w:r>
      <w:r w:rsidR="00CD66C6" w:rsidRPr="00FE4F41">
        <w:rPr>
          <w:sz w:val="22"/>
          <w:szCs w:val="22"/>
        </w:rPr>
        <w:t>о</w:t>
      </w:r>
      <w:r w:rsidR="00CD66C6" w:rsidRPr="00FE4F41">
        <w:rPr>
          <w:sz w:val="22"/>
          <w:szCs w:val="22"/>
        </w:rPr>
        <w:t>вольного пенсионного страхования.</w:t>
      </w:r>
    </w:p>
    <w:p w:rsidR="00FE4F41" w:rsidRPr="00FE4F41" w:rsidRDefault="00FE4F41" w:rsidP="009D23B7">
      <w:pPr>
        <w:ind w:left="709"/>
        <w:rPr>
          <w:sz w:val="22"/>
          <w:szCs w:val="22"/>
          <w:lang w:eastAsia="ar-SA"/>
        </w:rPr>
      </w:pPr>
      <w:r w:rsidRPr="009D23B7">
        <w:rPr>
          <w:i/>
          <w:sz w:val="22"/>
          <w:szCs w:val="22"/>
          <w:lang w:eastAsia="ar-SA"/>
        </w:rPr>
        <w:t>Ключевые слова:</w:t>
      </w:r>
      <w:r w:rsidR="009D23B7">
        <w:rPr>
          <w:sz w:val="22"/>
          <w:szCs w:val="22"/>
          <w:lang w:eastAsia="ar-SA"/>
        </w:rPr>
        <w:t xml:space="preserve"> пенсионные программы; долгосрочные инвестиции; доверие населения</w:t>
      </w:r>
    </w:p>
    <w:p w:rsidR="00CD66C6" w:rsidRPr="00B114CC" w:rsidRDefault="00CD66C6" w:rsidP="009B6834">
      <w:pPr>
        <w:autoSpaceDE w:val="0"/>
        <w:autoSpaceDN w:val="0"/>
        <w:adjustRightInd w:val="0"/>
        <w:ind w:firstLine="397"/>
        <w:jc w:val="both"/>
        <w:rPr>
          <w:rFonts w:ascii="Times New Roman CYR" w:hAnsi="Times New Roman CYR" w:cs="Times New Roman CYR"/>
          <w:sz w:val="20"/>
          <w:szCs w:val="20"/>
        </w:rPr>
        <w:sectPr w:rsidR="00CD66C6" w:rsidRPr="00B114CC" w:rsidSect="00D62DAB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134" w:right="1134" w:bottom="1134" w:left="1701" w:header="680" w:footer="680" w:gutter="0"/>
          <w:pgNumType w:start="82"/>
          <w:cols w:space="708"/>
          <w:titlePg/>
          <w:docGrid w:linePitch="360"/>
        </w:sectPr>
      </w:pPr>
      <w:r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493D4F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>
        <w:rPr>
          <w:sz w:val="28"/>
          <w:szCs w:val="28"/>
        </w:rPr>
        <w:lastRenderedPageBreak/>
        <w:tab/>
      </w:r>
      <w:r w:rsidR="00AE4224" w:rsidRPr="00CD66C6">
        <w:t>Большинство европейцев после выхода на пенсию начинают жить в свое удовольствие: ходят в рестораны, пут</w:t>
      </w:r>
      <w:r w:rsidR="00AE4224" w:rsidRPr="00CD66C6">
        <w:t>е</w:t>
      </w:r>
      <w:r w:rsidR="00AE4224" w:rsidRPr="00CD66C6">
        <w:t>шествуют по миру, многие даже детям материально помогают. Ничего удив</w:t>
      </w:r>
      <w:r w:rsidR="00AE4224" w:rsidRPr="00CD66C6">
        <w:t>и</w:t>
      </w:r>
      <w:r w:rsidR="00AE4224" w:rsidRPr="00CD66C6">
        <w:t>тельного – коэффициент замещения на Западе, рассчитываемый как отношение средней пенсии к средней з</w:t>
      </w:r>
      <w:r w:rsidR="00FD29AC" w:rsidRPr="00CD66C6">
        <w:t>арплате, с</w:t>
      </w:r>
      <w:r w:rsidR="00FD29AC" w:rsidRPr="00CD66C6">
        <w:t>о</w:t>
      </w:r>
      <w:r w:rsidR="00FD29AC" w:rsidRPr="00CD66C6">
        <w:t>ставляет 60–70%. Нашим пенсионерам такая жизнь не по карману - д</w:t>
      </w:r>
      <w:r w:rsidR="00AE4224" w:rsidRPr="00CD66C6">
        <w:t>ля россиян аналогичный показател</w:t>
      </w:r>
      <w:r w:rsidR="00FD29AC" w:rsidRPr="00CD66C6">
        <w:t>ь колеблется на уровне 23–27%. С</w:t>
      </w:r>
      <w:r w:rsidR="00AE4224" w:rsidRPr="00CD66C6">
        <w:t xml:space="preserve">егодня Россия имеет трехчастную </w:t>
      </w:r>
      <w:r w:rsidR="00A14FF9" w:rsidRPr="00CD66C6">
        <w:t xml:space="preserve">пенсионную </w:t>
      </w:r>
      <w:r w:rsidR="00AE4224" w:rsidRPr="00CD66C6">
        <w:t xml:space="preserve">систему. Она состоит из государственного </w:t>
      </w:r>
      <w:r w:rsidR="00FD29AC" w:rsidRPr="00CD66C6">
        <w:t>пенсионн</w:t>
      </w:r>
      <w:r w:rsidR="00FD29AC" w:rsidRPr="00CD66C6">
        <w:t>о</w:t>
      </w:r>
      <w:r w:rsidR="00FD29AC" w:rsidRPr="00CD66C6">
        <w:t xml:space="preserve">го обеспечения, </w:t>
      </w:r>
      <w:r w:rsidR="00AE4224" w:rsidRPr="00CD66C6">
        <w:t>негосударственного пе</w:t>
      </w:r>
      <w:r w:rsidR="00AE4224" w:rsidRPr="00CD66C6">
        <w:t>н</w:t>
      </w:r>
      <w:r w:rsidR="00AE4224" w:rsidRPr="00CD66C6">
        <w:t>сионного обеспечения и обязательно</w:t>
      </w:r>
      <w:r w:rsidR="006C3FBC">
        <w:t>го пенсионного страхования</w:t>
      </w:r>
      <w:r w:rsidR="00AE4224" w:rsidRPr="00CD66C6">
        <w:t>, а размер в</w:t>
      </w:r>
      <w:r w:rsidR="00AE4224" w:rsidRPr="00CD66C6">
        <w:t>ы</w:t>
      </w:r>
      <w:r w:rsidR="00AE4224" w:rsidRPr="00CD66C6">
        <w:t>плат зависит уже не от стажа, а от объема средств, аккумулированных на индив</w:t>
      </w:r>
      <w:r w:rsidR="00AE4224" w:rsidRPr="00CD66C6">
        <w:t>и</w:t>
      </w:r>
      <w:r w:rsidR="00AE4224" w:rsidRPr="00CD66C6">
        <w:t>дуальном лицевом счете. Ключевым эл</w:t>
      </w:r>
      <w:r w:rsidR="00AE4224" w:rsidRPr="00CD66C6">
        <w:t>е</w:t>
      </w:r>
      <w:r w:rsidR="00AE4224" w:rsidRPr="00CD66C6">
        <w:t xml:space="preserve">ментом </w:t>
      </w:r>
      <w:r w:rsidR="003E3366">
        <w:t xml:space="preserve">проведенной в 2002 году </w:t>
      </w:r>
      <w:r w:rsidR="00FD29AC" w:rsidRPr="00CD66C6">
        <w:t>пенс</w:t>
      </w:r>
      <w:r w:rsidR="00FD29AC" w:rsidRPr="00CD66C6">
        <w:t>и</w:t>
      </w:r>
      <w:r w:rsidR="00FD29AC" w:rsidRPr="00CD66C6">
        <w:t xml:space="preserve">онной </w:t>
      </w:r>
      <w:r w:rsidR="003E3366">
        <w:t>реформы,</w:t>
      </w:r>
      <w:r w:rsidR="00FD29AC" w:rsidRPr="00CD66C6">
        <w:t xml:space="preserve"> </w:t>
      </w:r>
      <w:r w:rsidR="00AE4224" w:rsidRPr="00CD66C6">
        <w:t>стало введение накоп</w:t>
      </w:r>
      <w:r w:rsidR="00AE4224" w:rsidRPr="00CD66C6">
        <w:t>и</w:t>
      </w:r>
      <w:r w:rsidR="00AE4224" w:rsidRPr="00CD66C6">
        <w:t xml:space="preserve">тельной части в </w:t>
      </w:r>
      <w:r w:rsidR="006C3FBC">
        <w:t>структуре трудовой пе</w:t>
      </w:r>
      <w:r w:rsidR="006C3FBC">
        <w:t>н</w:t>
      </w:r>
      <w:r w:rsidR="006C3FBC">
        <w:t xml:space="preserve">сии </w:t>
      </w:r>
      <w:r w:rsidR="006C3FBC" w:rsidRPr="006C3FBC">
        <w:t>[2]</w:t>
      </w:r>
      <w:r w:rsidR="00AE4224" w:rsidRPr="00CD66C6">
        <w:t>. И если отчисления на базовую и страховую час</w:t>
      </w:r>
      <w:r w:rsidR="00FD29AC" w:rsidRPr="00CD66C6">
        <w:t xml:space="preserve">ти </w:t>
      </w:r>
      <w:r w:rsidR="00AE4224" w:rsidRPr="00CD66C6">
        <w:t>расходуются на выпл</w:t>
      </w:r>
      <w:r w:rsidR="00AE4224" w:rsidRPr="00CD66C6">
        <w:t>а</w:t>
      </w:r>
      <w:r w:rsidR="00AE4224" w:rsidRPr="00CD66C6">
        <w:t xml:space="preserve">ты сегодняшним пенсионерам, то </w:t>
      </w:r>
      <w:r w:rsidR="00FD29AC" w:rsidRPr="00CD66C6">
        <w:t xml:space="preserve">эти </w:t>
      </w:r>
      <w:r w:rsidR="00AE4224" w:rsidRPr="00CD66C6">
        <w:t>н</w:t>
      </w:r>
      <w:r w:rsidR="00AE4224" w:rsidRPr="00CD66C6">
        <w:t>а</w:t>
      </w:r>
      <w:r w:rsidR="00AE4224" w:rsidRPr="00CD66C6">
        <w:t xml:space="preserve">копления </w:t>
      </w:r>
      <w:r w:rsidR="00FD29AC" w:rsidRPr="00CD66C6">
        <w:t>формируются</w:t>
      </w:r>
      <w:r w:rsidR="00AE4224" w:rsidRPr="00CD66C6">
        <w:t xml:space="preserve"> и инвестируются</w:t>
      </w:r>
      <w:r w:rsidR="00FD29AC" w:rsidRPr="00CD66C6">
        <w:t xml:space="preserve"> отдельно</w:t>
      </w:r>
      <w:r w:rsidR="00AE4224" w:rsidRPr="00CD66C6">
        <w:t xml:space="preserve">. </w:t>
      </w:r>
      <w:r w:rsidR="00FD29AC" w:rsidRPr="00CD66C6">
        <w:t>Однако мировая практика п</w:t>
      </w:r>
      <w:r w:rsidR="00FD29AC" w:rsidRPr="00CD66C6">
        <w:t>о</w:t>
      </w:r>
      <w:r w:rsidR="00FD29AC" w:rsidRPr="00CD66C6">
        <w:t>казывает, что</w:t>
      </w:r>
      <w:r w:rsidR="00AE4224" w:rsidRPr="00CD66C6">
        <w:t xml:space="preserve"> достойный уровень жизни пенсионеров не </w:t>
      </w:r>
      <w:r w:rsidR="00FD29AC" w:rsidRPr="00CD66C6">
        <w:t>может обеспечиваться</w:t>
      </w:r>
      <w:r w:rsidR="00AE4224" w:rsidRPr="00CD66C6">
        <w:t xml:space="preserve"> только</w:t>
      </w:r>
      <w:r w:rsidRPr="00CD66C6">
        <w:t xml:space="preserve"> за счет государственной пенсии,  а самостоятельно копить на свое обесп</w:t>
      </w:r>
      <w:r w:rsidRPr="00CD66C6">
        <w:t>е</w:t>
      </w:r>
      <w:r w:rsidRPr="00CD66C6">
        <w:t>чение в старости способны не многие в силу непривычности таких накоплений и нашего менталитета.</w:t>
      </w:r>
      <w:r w:rsidR="00D153F0" w:rsidRPr="00CD66C6">
        <w:t xml:space="preserve"> </w:t>
      </w:r>
      <w:r w:rsidR="00221553" w:rsidRPr="00CD66C6">
        <w:t xml:space="preserve">С </w:t>
      </w:r>
      <w:r w:rsidR="005C5695" w:rsidRPr="00CD66C6">
        <w:t>введением</w:t>
      </w:r>
      <w:r w:rsidR="00FD29AC" w:rsidRPr="00CD66C6">
        <w:t xml:space="preserve"> нег</w:t>
      </w:r>
      <w:r w:rsidR="00FD29AC" w:rsidRPr="00CD66C6">
        <w:t>о</w:t>
      </w:r>
      <w:r w:rsidR="00FD29AC" w:rsidRPr="00CD66C6">
        <w:t xml:space="preserve">сударственной пенсионной системы  </w:t>
      </w:r>
      <w:r w:rsidR="00221553" w:rsidRPr="00CD66C6">
        <w:t>у работодателей и работников появилась возможность</w:t>
      </w:r>
      <w:r w:rsidR="005C5695" w:rsidRPr="00CD66C6">
        <w:t xml:space="preserve"> самостоятельно решать в</w:t>
      </w:r>
      <w:r w:rsidR="005C5695" w:rsidRPr="00CD66C6">
        <w:t>о</w:t>
      </w:r>
      <w:r w:rsidR="005C5695" w:rsidRPr="00CD66C6">
        <w:t>прос о создании условий</w:t>
      </w:r>
      <w:r w:rsidR="00221553" w:rsidRPr="00CD66C6">
        <w:t xml:space="preserve"> </w:t>
      </w:r>
      <w:r w:rsidR="005C5695" w:rsidRPr="00CD66C6">
        <w:t xml:space="preserve">для достойной </w:t>
      </w:r>
      <w:r w:rsidR="00221553" w:rsidRPr="00CD66C6">
        <w:t xml:space="preserve">жизни </w:t>
      </w:r>
      <w:r w:rsidR="005C5695" w:rsidRPr="00CD66C6">
        <w:t xml:space="preserve">работника </w:t>
      </w:r>
      <w:r w:rsidR="00221553" w:rsidRPr="00CD66C6">
        <w:t>при выходе</w:t>
      </w:r>
      <w:r w:rsidR="005C5695" w:rsidRPr="00CD66C6">
        <w:t xml:space="preserve"> его</w:t>
      </w:r>
      <w:r w:rsidR="00221553" w:rsidRPr="00CD66C6">
        <w:t xml:space="preserve"> на пе</w:t>
      </w:r>
      <w:r w:rsidR="00221553" w:rsidRPr="00CD66C6">
        <w:t>н</w:t>
      </w:r>
      <w:r w:rsidR="00221553" w:rsidRPr="00CD66C6">
        <w:lastRenderedPageBreak/>
        <w:t>сию</w:t>
      </w:r>
      <w:r w:rsidR="005C5695" w:rsidRPr="00CD66C6">
        <w:t xml:space="preserve"> путем формирования пенсионных накоплений</w:t>
      </w:r>
      <w:r w:rsidR="00221553" w:rsidRPr="00CD66C6">
        <w:t>.</w:t>
      </w:r>
    </w:p>
    <w:p w:rsidR="00221553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6860C8" w:rsidRPr="00CD66C6">
        <w:t xml:space="preserve">В такой ситуации корпоративные пенсии для большинства людей </w:t>
      </w:r>
      <w:r w:rsidR="00221553" w:rsidRPr="00CD66C6">
        <w:t>- единс</w:t>
      </w:r>
      <w:r w:rsidR="00221553" w:rsidRPr="00CD66C6">
        <w:t>т</w:t>
      </w:r>
      <w:r w:rsidR="00221553" w:rsidRPr="00CD66C6">
        <w:t xml:space="preserve">венный выход жить в старости достойно. </w:t>
      </w:r>
      <w:r w:rsidR="00E778B1">
        <w:t>Ключевым объектом в данной статье я</w:t>
      </w:r>
      <w:r w:rsidR="00E778B1">
        <w:t>в</w:t>
      </w:r>
      <w:r w:rsidR="00E778B1">
        <w:t>ляется корпоративная пенсионная пр</w:t>
      </w:r>
      <w:r w:rsidR="00E778B1">
        <w:t>о</w:t>
      </w:r>
      <w:r w:rsidR="00E778B1">
        <w:t>грамма. Поэтому прежде чем перейти к рассмотрению данной темы, остановимся на определении. Корпоративная пенс</w:t>
      </w:r>
      <w:r w:rsidR="00E778B1">
        <w:t>и</w:t>
      </w:r>
      <w:r w:rsidR="00E778B1">
        <w:t xml:space="preserve">онная программа – </w:t>
      </w:r>
      <w:r w:rsidR="00A85AFE" w:rsidRPr="00A85AFE">
        <w:t>это</w:t>
      </w:r>
      <w:r w:rsidR="00E778B1">
        <w:t xml:space="preserve"> </w:t>
      </w:r>
      <w:r w:rsidR="00A85AFE" w:rsidRPr="00A85AFE">
        <w:t>финансирование предприятием будущих и настоящих пенсий своих сотрудников</w:t>
      </w:r>
      <w:r w:rsidR="00E778B1">
        <w:t>. Корпорати</w:t>
      </w:r>
      <w:r w:rsidR="00E778B1">
        <w:t>в</w:t>
      </w:r>
      <w:r w:rsidR="00E778B1">
        <w:t>ные пенсионные программы</w:t>
      </w:r>
      <w:r w:rsidR="00A14FF9" w:rsidRPr="00CD66C6">
        <w:t xml:space="preserve"> должны стать неотъемлемой частью формиров</w:t>
      </w:r>
      <w:r w:rsidR="00A14FF9" w:rsidRPr="00CD66C6">
        <w:t>а</w:t>
      </w:r>
      <w:r w:rsidR="00A14FF9" w:rsidRPr="00CD66C6">
        <w:t xml:space="preserve">ния пенсионного обеспечения граждан России. </w:t>
      </w:r>
      <w:r w:rsidR="00221553" w:rsidRPr="00CD66C6">
        <w:t>Более того, корпоративные пр</w:t>
      </w:r>
      <w:r w:rsidR="00221553" w:rsidRPr="00CD66C6">
        <w:t>о</w:t>
      </w:r>
      <w:r w:rsidR="00221553" w:rsidRPr="00CD66C6">
        <w:t>граммы, где работник сам финансирует свою будущую пенсию, - это первый шаг к развитию личного пенсионного страх</w:t>
      </w:r>
      <w:r w:rsidR="00221553" w:rsidRPr="00CD66C6">
        <w:t>о</w:t>
      </w:r>
      <w:r w:rsidR="00221553" w:rsidRPr="00CD66C6">
        <w:t>вания, которое в нашей стране необх</w:t>
      </w:r>
      <w:r w:rsidR="00221553" w:rsidRPr="00CD66C6">
        <w:t>о</w:t>
      </w:r>
      <w:r w:rsidR="00221553" w:rsidRPr="00CD66C6">
        <w:t>димо как воздух.</w:t>
      </w:r>
    </w:p>
    <w:p w:rsidR="00A14FF9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C36181" w:rsidRPr="00CD66C6">
        <w:t>В мире существуют многочисле</w:t>
      </w:r>
      <w:r w:rsidR="00C36181" w:rsidRPr="00CD66C6">
        <w:t>н</w:t>
      </w:r>
      <w:r w:rsidR="00C36181" w:rsidRPr="00CD66C6">
        <w:t>ные разновидности корпоратив</w:t>
      </w:r>
      <w:r w:rsidR="00CD66C6">
        <w:t>ных пе</w:t>
      </w:r>
      <w:r w:rsidR="00CD66C6">
        <w:t>н</w:t>
      </w:r>
      <w:r w:rsidR="00CD66C6">
        <w:t xml:space="preserve">сионных программ, </w:t>
      </w:r>
      <w:r w:rsidR="00C36181" w:rsidRPr="00CD66C6">
        <w:t>общая их суть з</w:t>
      </w:r>
      <w:r w:rsidR="00C36181" w:rsidRPr="00CD66C6">
        <w:t>а</w:t>
      </w:r>
      <w:r w:rsidR="00C36181" w:rsidRPr="00CD66C6">
        <w:t>ключается в том, что предприятие собс</w:t>
      </w:r>
      <w:r w:rsidR="00C36181" w:rsidRPr="00CD66C6">
        <w:t>т</w:t>
      </w:r>
      <w:r w:rsidR="00C36181" w:rsidRPr="00CD66C6">
        <w:t>венными силами</w:t>
      </w:r>
      <w:r w:rsidR="00A14FF9" w:rsidRPr="00CD66C6">
        <w:t>,</w:t>
      </w:r>
      <w:r w:rsidR="00C36181" w:rsidRPr="00CD66C6">
        <w:t xml:space="preserve"> либо совместно пре</w:t>
      </w:r>
      <w:r w:rsidR="00C36181" w:rsidRPr="00CD66C6">
        <w:t>д</w:t>
      </w:r>
      <w:r w:rsidR="00C36181" w:rsidRPr="00CD66C6">
        <w:t>приятие и работник ежемесячно отчи</w:t>
      </w:r>
      <w:r w:rsidR="00C36181" w:rsidRPr="00CD66C6">
        <w:t>с</w:t>
      </w:r>
      <w:r w:rsidR="00C36181" w:rsidRPr="00CD66C6">
        <w:t>ляют из своих доходов в негосударстве</w:t>
      </w:r>
      <w:r w:rsidR="00C36181" w:rsidRPr="00CD66C6">
        <w:t>н</w:t>
      </w:r>
      <w:r w:rsidR="00C36181" w:rsidRPr="00CD66C6">
        <w:t>ные пенсионные фонды (НПФ) опред</w:t>
      </w:r>
      <w:r w:rsidR="00C36181" w:rsidRPr="00CD66C6">
        <w:t>е</w:t>
      </w:r>
      <w:r w:rsidR="00C36181" w:rsidRPr="00CD66C6">
        <w:t>ленные суммы на альтернативное гос</w:t>
      </w:r>
      <w:r w:rsidR="00C36181" w:rsidRPr="00CD66C6">
        <w:t>у</w:t>
      </w:r>
      <w:r w:rsidR="00C36181" w:rsidRPr="00CD66C6">
        <w:t>дарственному пенсионное обеспечение гражданина. Такие совместные усилия работодателей и работников могут ок</w:t>
      </w:r>
      <w:r w:rsidR="00C36181" w:rsidRPr="00CD66C6">
        <w:t>а</w:t>
      </w:r>
      <w:r w:rsidR="00C36181" w:rsidRPr="00CD66C6">
        <w:t xml:space="preserve">заться вполне оправданными, учитывая, что коэффициент </w:t>
      </w:r>
      <w:r w:rsidR="00CD66C6">
        <w:t xml:space="preserve">замещения утраченного заработка, </w:t>
      </w:r>
      <w:r w:rsidR="00F12CC1" w:rsidRPr="00CD66C6">
        <w:t>который по мировым с</w:t>
      </w:r>
      <w:r w:rsidRPr="00CD66C6">
        <w:t>танда</w:t>
      </w:r>
      <w:r w:rsidRPr="00CD66C6">
        <w:t>р</w:t>
      </w:r>
      <w:r w:rsidRPr="00CD66C6">
        <w:t>там должен быть не ниже 40</w:t>
      </w:r>
      <w:r w:rsidR="00F12CC1" w:rsidRPr="00CD66C6">
        <w:t xml:space="preserve">%, </w:t>
      </w:r>
      <w:r w:rsidR="00C36181" w:rsidRPr="00CD66C6">
        <w:t>при в</w:t>
      </w:r>
      <w:r w:rsidR="00C36181" w:rsidRPr="00CD66C6">
        <w:t>ы</w:t>
      </w:r>
      <w:r w:rsidR="00C36181" w:rsidRPr="00CD66C6">
        <w:t>хо</w:t>
      </w:r>
      <w:r w:rsidR="00920878" w:rsidRPr="00CD66C6">
        <w:t xml:space="preserve">де на пенсию у  </w:t>
      </w:r>
      <w:r w:rsidR="00F12CC1" w:rsidRPr="00CD66C6">
        <w:t>работников с учетом корпоративной пенсионной программы</w:t>
      </w:r>
      <w:r w:rsidR="00C36181" w:rsidRPr="00CD66C6">
        <w:t xml:space="preserve"> </w:t>
      </w:r>
      <w:r w:rsidR="00A14FF9" w:rsidRPr="00CD66C6">
        <w:lastRenderedPageBreak/>
        <w:t>уже сегодня составляет свыше 45</w:t>
      </w:r>
      <w:r w:rsidR="00C36181" w:rsidRPr="00CD66C6">
        <w:t>%</w:t>
      </w:r>
      <w:r w:rsidR="00CD66C6">
        <w:t>.</w:t>
      </w:r>
      <w:r w:rsidR="003E3366">
        <w:t xml:space="preserve"> </w:t>
      </w:r>
      <w:r w:rsidR="00CD66C6">
        <w:t>Ра</w:t>
      </w:r>
      <w:r w:rsidR="00CD66C6">
        <w:t>с</w:t>
      </w:r>
      <w:r w:rsidR="00CD66C6">
        <w:t>смотрим основные виды пенсионных программ более подробно</w:t>
      </w:r>
      <w:r w:rsidR="00033387" w:rsidRPr="00CD66C6">
        <w:t xml:space="preserve"> </w:t>
      </w:r>
    </w:p>
    <w:p w:rsidR="00B114CC" w:rsidRPr="00CD66C6" w:rsidRDefault="00B114CC" w:rsidP="009D23B7">
      <w:pPr>
        <w:autoSpaceDE w:val="0"/>
        <w:autoSpaceDN w:val="0"/>
        <w:adjustRightInd w:val="0"/>
        <w:spacing w:line="216" w:lineRule="auto"/>
        <w:ind w:firstLine="708"/>
        <w:jc w:val="both"/>
      </w:pPr>
      <w:r w:rsidRPr="00CD66C6">
        <w:t>Паритетные пенсионные пр</w:t>
      </w:r>
      <w:r w:rsidRPr="00CD66C6">
        <w:t>о</w:t>
      </w:r>
      <w:r w:rsidRPr="00CD66C6">
        <w:t>граммы (этот термин употребляется в тех случаях, когда формирование пенсий происходит за счет взносов работника и компании) достаточно выгодны</w:t>
      </w:r>
      <w:r w:rsidR="003E3366">
        <w:t xml:space="preserve"> для р</w:t>
      </w:r>
      <w:r w:rsidR="003E3366">
        <w:t>а</w:t>
      </w:r>
      <w:r w:rsidR="003E3366">
        <w:t>ботника</w:t>
      </w:r>
      <w:r w:rsidRPr="00CD66C6">
        <w:t>: обычно на 1 рубль взноса, кот</w:t>
      </w:r>
      <w:r w:rsidRPr="00CD66C6">
        <w:t>о</w:t>
      </w:r>
      <w:r w:rsidRPr="00CD66C6">
        <w:t xml:space="preserve">рый работник вносит для формирования своей пенсии, предприятие тоже вносит 1 рубль на его именной пенсионный счет. В результате гарантированная прибыль составляет 100 процентов. Плюс к этому – ежегодный инвестиционный доход за счет размещения </w:t>
      </w:r>
      <w:r w:rsidR="00493D4F" w:rsidRPr="00CD66C6">
        <w:t>НПФ</w:t>
      </w:r>
      <w:r w:rsidRPr="00CD66C6">
        <w:t xml:space="preserve"> средств в наде</w:t>
      </w:r>
      <w:r w:rsidRPr="00CD66C6">
        <w:t>ж</w:t>
      </w:r>
      <w:r w:rsidRPr="00CD66C6">
        <w:t>ные ценные бумаги. Столь высокую д</w:t>
      </w:r>
      <w:r w:rsidRPr="00CD66C6">
        <w:t>о</w:t>
      </w:r>
      <w:r w:rsidRPr="00CD66C6">
        <w:t>ходность не может обеспечить ни один другой финансовый институт. Приступая к разработке корпоративной пенсионной программы, руководители предприятий решают принципиальный вопрос: кому отдать в управление эти средства. Ест</w:t>
      </w:r>
      <w:r w:rsidRPr="00CD66C6">
        <w:t>е</w:t>
      </w:r>
      <w:r w:rsidRPr="00CD66C6">
        <w:t xml:space="preserve">ственно, они выбирают </w:t>
      </w:r>
      <w:r w:rsidR="00493D4F" w:rsidRPr="00CD66C6">
        <w:t>НПФ</w:t>
      </w:r>
      <w:r w:rsidRPr="00CD66C6">
        <w:t xml:space="preserve"> имеющие солидных учредителей, безупречную р</w:t>
      </w:r>
      <w:r w:rsidRPr="00CD66C6">
        <w:t>е</w:t>
      </w:r>
      <w:r w:rsidRPr="00CD66C6">
        <w:t>путацию, которые проводят разумную инвестиционную политику и на протяж</w:t>
      </w:r>
      <w:r w:rsidRPr="00CD66C6">
        <w:t>е</w:t>
      </w:r>
      <w:r w:rsidRPr="00CD66C6">
        <w:t>нии нескольких лет демонстрируют ст</w:t>
      </w:r>
      <w:r w:rsidRPr="00CD66C6">
        <w:t>а</w:t>
      </w:r>
      <w:r w:rsidRPr="00CD66C6">
        <w:t>бильные показатели деятельности.</w:t>
      </w:r>
    </w:p>
    <w:p w:rsidR="00920878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A14FF9" w:rsidRPr="00CD66C6">
        <w:t xml:space="preserve">Другой вариант – </w:t>
      </w:r>
      <w:r w:rsidR="00CE40A0" w:rsidRPr="00CD66C6">
        <w:t>р</w:t>
      </w:r>
      <w:r w:rsidR="00920878" w:rsidRPr="00CD66C6">
        <w:t>аботодатели</w:t>
      </w:r>
      <w:r w:rsidR="00A14FF9" w:rsidRPr="00CD66C6">
        <w:t xml:space="preserve"> </w:t>
      </w:r>
      <w:r w:rsidR="00920878" w:rsidRPr="00CD66C6">
        <w:t xml:space="preserve">включают в свои пенсионные программы условия о том, что </w:t>
      </w:r>
      <w:r w:rsidR="00CE40A0" w:rsidRPr="00CD66C6">
        <w:t>дополнительно пер</w:t>
      </w:r>
      <w:r w:rsidR="00CE40A0" w:rsidRPr="00CD66C6">
        <w:t>е</w:t>
      </w:r>
      <w:r w:rsidR="00CE40A0" w:rsidRPr="00CD66C6">
        <w:t>числяют пенсионные</w:t>
      </w:r>
      <w:r w:rsidR="00920878" w:rsidRPr="00CD66C6">
        <w:t xml:space="preserve"> взносы только </w:t>
      </w:r>
      <w:r w:rsidR="00CE40A0" w:rsidRPr="00CD66C6">
        <w:t xml:space="preserve">в пользу </w:t>
      </w:r>
      <w:r w:rsidR="00920878" w:rsidRPr="00CD66C6">
        <w:t xml:space="preserve"> тех сотрудников, которые закл</w:t>
      </w:r>
      <w:r w:rsidR="00920878" w:rsidRPr="00CD66C6">
        <w:t>ю</w:t>
      </w:r>
      <w:r w:rsidR="00920878" w:rsidRPr="00CD66C6">
        <w:t>чили индивидуальный договор с НПФ и самостоятельно перечисляют пенсио</w:t>
      </w:r>
      <w:r w:rsidR="00920878" w:rsidRPr="00CD66C6">
        <w:t>н</w:t>
      </w:r>
      <w:r w:rsidR="00920878" w:rsidRPr="00CD66C6">
        <w:t>ные взносы из своих доходов. Это дост</w:t>
      </w:r>
      <w:r w:rsidR="00920878" w:rsidRPr="00CD66C6">
        <w:t>а</w:t>
      </w:r>
      <w:r w:rsidR="00920878" w:rsidRPr="00CD66C6">
        <w:t>точно разумная политика: переложить на работника часть ответственности за фо</w:t>
      </w:r>
      <w:r w:rsidR="00920878" w:rsidRPr="00CD66C6">
        <w:t>р</w:t>
      </w:r>
      <w:r w:rsidR="00920878" w:rsidRPr="00CD66C6">
        <w:t>мирование его будущей дополнительной пенсии и сосредоточить финансовую п</w:t>
      </w:r>
      <w:r w:rsidR="00920878" w:rsidRPr="00CD66C6">
        <w:t>о</w:t>
      </w:r>
      <w:r w:rsidR="00920878" w:rsidRPr="00CD66C6">
        <w:t>мощь предприятия на наиболее созн</w:t>
      </w:r>
      <w:r w:rsidR="00920878" w:rsidRPr="00CD66C6">
        <w:t>а</w:t>
      </w:r>
      <w:r w:rsidR="00920878" w:rsidRPr="00CD66C6">
        <w:t>тельных в этом плане сотрудни</w:t>
      </w:r>
      <w:r w:rsidR="00CE40A0" w:rsidRPr="00CD66C6">
        <w:t>ков. В т</w:t>
      </w:r>
      <w:r w:rsidR="00CE40A0" w:rsidRPr="00CD66C6">
        <w:t>а</w:t>
      </w:r>
      <w:r w:rsidR="00CE40A0" w:rsidRPr="00CD66C6">
        <w:t>ких пенсионных планах В</w:t>
      </w:r>
      <w:r w:rsidR="00920878" w:rsidRPr="00CD66C6">
        <w:t xml:space="preserve">ы сами можете решать, сколько хотите перечислять в НПФ, а размер платежа </w:t>
      </w:r>
      <w:r w:rsidR="00A14FF9" w:rsidRPr="00CD66C6">
        <w:t>предприятия в В</w:t>
      </w:r>
      <w:r w:rsidR="00920878" w:rsidRPr="00CD66C6">
        <w:t>ашу пользу будет</w:t>
      </w:r>
      <w:r w:rsidR="00CE40A0" w:rsidRPr="00CD66C6">
        <w:t>, как правило,</w:t>
      </w:r>
      <w:r w:rsidR="00A14FF9" w:rsidRPr="00CD66C6">
        <w:t xml:space="preserve"> эквив</w:t>
      </w:r>
      <w:r w:rsidR="00A14FF9" w:rsidRPr="00CD66C6">
        <w:t>а</w:t>
      </w:r>
      <w:r w:rsidR="00A14FF9" w:rsidRPr="00CD66C6">
        <w:t>лентен В</w:t>
      </w:r>
      <w:r w:rsidR="00920878" w:rsidRPr="00CD66C6">
        <w:t>ашим отчислениям.</w:t>
      </w:r>
    </w:p>
    <w:p w:rsidR="00C36181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920878" w:rsidRPr="00CD66C6">
        <w:t>На сегодняшний день корпорати</w:t>
      </w:r>
      <w:r w:rsidR="00920878" w:rsidRPr="00CD66C6">
        <w:t>в</w:t>
      </w:r>
      <w:r w:rsidR="00920878" w:rsidRPr="00CD66C6">
        <w:t>ные пенсионные программы внедряются в самых успешных и социально-ориентированных компаниях, где по</w:t>
      </w:r>
      <w:r w:rsidR="00920878" w:rsidRPr="00CD66C6">
        <w:t>я</w:t>
      </w:r>
      <w:r w:rsidR="00920878" w:rsidRPr="00CD66C6">
        <w:t>вился новый тип руководителя, который берет на себя ответственность за пов</w:t>
      </w:r>
      <w:r w:rsidR="00920878" w:rsidRPr="00CD66C6">
        <w:t>ы</w:t>
      </w:r>
      <w:r w:rsidR="00920878" w:rsidRPr="00CD66C6">
        <w:t xml:space="preserve">шение уровня жизни пожилых людей, </w:t>
      </w:r>
      <w:r w:rsidR="002D67CE" w:rsidRPr="00CD66C6">
        <w:t>добросовестно выполнявших свои пр</w:t>
      </w:r>
      <w:r w:rsidR="002D67CE" w:rsidRPr="00CD66C6">
        <w:t>о</w:t>
      </w:r>
      <w:r w:rsidR="002D67CE" w:rsidRPr="00CD66C6">
        <w:t>фессиональные обязанности на предпр</w:t>
      </w:r>
      <w:r w:rsidR="002D67CE" w:rsidRPr="00CD66C6">
        <w:t>и</w:t>
      </w:r>
      <w:r w:rsidR="002D67CE" w:rsidRPr="00CD66C6">
        <w:t>ятии в течение многих лет</w:t>
      </w:r>
      <w:r w:rsidR="00920878" w:rsidRPr="00CD66C6">
        <w:t xml:space="preserve">. Руководители </w:t>
      </w:r>
      <w:r w:rsidR="00920878" w:rsidRPr="00CD66C6">
        <w:lastRenderedPageBreak/>
        <w:t xml:space="preserve">многих предприятий </w:t>
      </w:r>
      <w:r w:rsidR="002D67CE" w:rsidRPr="00CD66C6">
        <w:t>понимают</w:t>
      </w:r>
      <w:r w:rsidR="00920878" w:rsidRPr="00CD66C6">
        <w:t>, что пр</w:t>
      </w:r>
      <w:r w:rsidR="00920878" w:rsidRPr="00CD66C6">
        <w:t>о</w:t>
      </w:r>
      <w:r w:rsidR="00920878" w:rsidRPr="00CD66C6">
        <w:t>блему пенсионного обеспечения необх</w:t>
      </w:r>
      <w:r w:rsidR="00920878" w:rsidRPr="00CD66C6">
        <w:t>о</w:t>
      </w:r>
      <w:r w:rsidR="00920878" w:rsidRPr="00CD66C6">
        <w:t>димо решать не только на государстве</w:t>
      </w:r>
      <w:r w:rsidR="00920878" w:rsidRPr="00CD66C6">
        <w:t>н</w:t>
      </w:r>
      <w:r w:rsidR="00920878" w:rsidRPr="00CD66C6">
        <w:t>ном, но и на корпоративном уровне. Ко</w:t>
      </w:r>
      <w:r w:rsidR="00920878" w:rsidRPr="00CD66C6">
        <w:t>р</w:t>
      </w:r>
      <w:r w:rsidR="00920878" w:rsidRPr="00CD66C6">
        <w:t>поративная пенсия</w:t>
      </w:r>
      <w:r w:rsidR="002D67CE" w:rsidRPr="00CD66C6">
        <w:t xml:space="preserve"> сегодня</w:t>
      </w:r>
      <w:r w:rsidR="00920878" w:rsidRPr="00CD66C6">
        <w:t xml:space="preserve"> –</w:t>
      </w:r>
      <w:r w:rsidR="002D67CE" w:rsidRPr="00CD66C6">
        <w:t xml:space="preserve"> это </w:t>
      </w:r>
      <w:r w:rsidR="00920878" w:rsidRPr="00CD66C6">
        <w:t>одна из важных составляющих социального п</w:t>
      </w:r>
      <w:r w:rsidR="00920878" w:rsidRPr="00CD66C6">
        <w:t>а</w:t>
      </w:r>
      <w:r w:rsidR="00920878" w:rsidRPr="00CD66C6">
        <w:t xml:space="preserve">кета, </w:t>
      </w:r>
      <w:r w:rsidR="002D67CE" w:rsidRPr="00CD66C6">
        <w:t>способствующая повышению</w:t>
      </w:r>
      <w:r w:rsidR="00920878" w:rsidRPr="00CD66C6">
        <w:t xml:space="preserve"> э</w:t>
      </w:r>
      <w:r w:rsidR="00920878" w:rsidRPr="00CD66C6">
        <w:t>ф</w:t>
      </w:r>
      <w:r w:rsidR="00920878" w:rsidRPr="00CD66C6">
        <w:t>фективности и успешности бизнеса.</w:t>
      </w:r>
    </w:p>
    <w:p w:rsidR="00493D4F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221553" w:rsidRPr="00CD66C6">
        <w:t>Компании, предлагающие корп</w:t>
      </w:r>
      <w:r w:rsidR="00221553" w:rsidRPr="00CD66C6">
        <w:t>о</w:t>
      </w:r>
      <w:r w:rsidR="00221553" w:rsidRPr="00CD66C6">
        <w:t xml:space="preserve">ративные пенсионные программы, </w:t>
      </w:r>
      <w:r w:rsidRPr="00CD66C6">
        <w:t>реш</w:t>
      </w:r>
      <w:r w:rsidRPr="00CD66C6">
        <w:t>а</w:t>
      </w:r>
      <w:r w:rsidRPr="00CD66C6">
        <w:t>ют</w:t>
      </w:r>
      <w:r w:rsidR="00221553" w:rsidRPr="00CD66C6">
        <w:t xml:space="preserve"> </w:t>
      </w:r>
      <w:r w:rsidR="002D67CE" w:rsidRPr="00CD66C6">
        <w:t xml:space="preserve">таким образом </w:t>
      </w:r>
      <w:r w:rsidR="00221553" w:rsidRPr="00CD66C6">
        <w:t>сразу две задачи. М</w:t>
      </w:r>
      <w:r w:rsidR="00221553" w:rsidRPr="00CD66C6">
        <w:t>о</w:t>
      </w:r>
      <w:r w:rsidR="00221553" w:rsidRPr="00CD66C6">
        <w:t>тивация и удержание сотрудников в о</w:t>
      </w:r>
      <w:r w:rsidR="00221553" w:rsidRPr="00CD66C6">
        <w:t>р</w:t>
      </w:r>
      <w:r w:rsidR="00221553" w:rsidRPr="00CD66C6">
        <w:t>ганизации – первая из них. Однако в Ро</w:t>
      </w:r>
      <w:r w:rsidR="00221553" w:rsidRPr="00CD66C6">
        <w:t>с</w:t>
      </w:r>
      <w:r w:rsidR="00221553" w:rsidRPr="00CD66C6">
        <w:t xml:space="preserve">сии с помощью пенсионной программы достичь ее куда сложнее, так как </w:t>
      </w:r>
      <w:r w:rsidR="00A14FF9" w:rsidRPr="00CD66C6">
        <w:t xml:space="preserve">срок </w:t>
      </w:r>
      <w:r w:rsidR="00221553" w:rsidRPr="00CD66C6">
        <w:t>планирования будущего у сотрудников обычно очень короток. Это связано как с краткосрочной ориентацией построения карьеры в целом, так и с недоверием к долгосрочным инвестициям. Именно п</w:t>
      </w:r>
      <w:r w:rsidR="00221553" w:rsidRPr="00CD66C6">
        <w:t>о</w:t>
      </w:r>
      <w:r w:rsidR="00221553" w:rsidRPr="00CD66C6">
        <w:t xml:space="preserve">этому многие предприятия заменяют пенсионные программы краткосрочными инструментами мотивации, такими, как премиальные программы или повышение заработной платы. </w:t>
      </w:r>
      <w:r w:rsidR="002D67CE" w:rsidRPr="00CD66C6">
        <w:t xml:space="preserve">Многие </w:t>
      </w:r>
      <w:r w:rsidR="00221553" w:rsidRPr="00CD66C6">
        <w:t xml:space="preserve"> руководите</w:t>
      </w:r>
      <w:r w:rsidR="00A14FF9" w:rsidRPr="00CD66C6">
        <w:t>ли убеждены, что к</w:t>
      </w:r>
      <w:r w:rsidR="00746B41" w:rsidRPr="00CD66C6">
        <w:t>орпоративная п</w:t>
      </w:r>
      <w:r w:rsidR="00221553" w:rsidRPr="00CD66C6">
        <w:t>енсия о</w:t>
      </w:r>
      <w:r w:rsidR="00221553" w:rsidRPr="00CD66C6">
        <w:t>б</w:t>
      </w:r>
      <w:r w:rsidR="00221553" w:rsidRPr="00CD66C6">
        <w:t>ходится дороже, чем стандартное мат</w:t>
      </w:r>
      <w:r w:rsidR="00221553" w:rsidRPr="00CD66C6">
        <w:t>е</w:t>
      </w:r>
      <w:r w:rsidR="00221553" w:rsidRPr="00CD66C6">
        <w:t>риальное стимулировани</w:t>
      </w:r>
      <w:r w:rsidR="002D67CE" w:rsidRPr="00CD66C6">
        <w:t xml:space="preserve">е. </w:t>
      </w:r>
      <w:r w:rsidR="00746B41" w:rsidRPr="00CD66C6">
        <w:t>Однако,</w:t>
      </w:r>
      <w:r w:rsidR="00221553" w:rsidRPr="00CD66C6">
        <w:t xml:space="preserve"> пе</w:t>
      </w:r>
      <w:r w:rsidR="00221553" w:rsidRPr="00CD66C6">
        <w:t>н</w:t>
      </w:r>
      <w:r w:rsidR="00221553" w:rsidRPr="00CD66C6">
        <w:t>сионные отчисления по затратам обх</w:t>
      </w:r>
      <w:r w:rsidR="00221553" w:rsidRPr="00CD66C6">
        <w:t>о</w:t>
      </w:r>
      <w:r w:rsidR="00221553" w:rsidRPr="00CD66C6">
        <w:t xml:space="preserve">дятся руководителю ровно </w:t>
      </w:r>
      <w:r w:rsidR="002D67CE" w:rsidRPr="00CD66C6">
        <w:t xml:space="preserve">во </w:t>
      </w:r>
      <w:r w:rsidR="00221553" w:rsidRPr="00CD66C6">
        <w:t>столько</w:t>
      </w:r>
      <w:r w:rsidR="002D67CE" w:rsidRPr="00CD66C6">
        <w:t xml:space="preserve"> же</w:t>
      </w:r>
      <w:r w:rsidR="00221553" w:rsidRPr="00CD66C6">
        <w:t xml:space="preserve">, </w:t>
      </w:r>
      <w:r w:rsidR="002D67CE" w:rsidRPr="00CD66C6">
        <w:t xml:space="preserve">во </w:t>
      </w:r>
      <w:r w:rsidR="00221553" w:rsidRPr="00CD66C6">
        <w:t>сколько обходится повышение зар</w:t>
      </w:r>
      <w:r w:rsidR="00221553" w:rsidRPr="00CD66C6">
        <w:t>а</w:t>
      </w:r>
      <w:r w:rsidR="00221553" w:rsidRPr="00CD66C6">
        <w:t>ботной платы на ту же сумму, но эффект от ее введения действует дольше.</w:t>
      </w:r>
    </w:p>
    <w:p w:rsidR="00746B41" w:rsidRPr="00CD66C6" w:rsidRDefault="00221553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  <w:t>Другая задача, которую решают организ</w:t>
      </w:r>
      <w:r w:rsidR="006C3FBC">
        <w:t>ации при создании корпорати</w:t>
      </w:r>
      <w:r w:rsidR="006C3FBC">
        <w:t>в</w:t>
      </w:r>
      <w:r w:rsidR="006C3FBC">
        <w:t>ной пенсионной программы</w:t>
      </w:r>
      <w:r w:rsidRPr="00CD66C6">
        <w:t xml:space="preserve"> – выполн</w:t>
      </w:r>
      <w:r w:rsidRPr="00CD66C6">
        <w:t>е</w:t>
      </w:r>
      <w:r w:rsidRPr="00CD66C6">
        <w:t>ние функций социальной ответственн</w:t>
      </w:r>
      <w:r w:rsidRPr="00CD66C6">
        <w:t>о</w:t>
      </w:r>
      <w:r w:rsidRPr="00CD66C6">
        <w:t>сти перед сотрудниками и обществом. Многие российские компании либо вл</w:t>
      </w:r>
      <w:r w:rsidRPr="00CD66C6">
        <w:t>а</w:t>
      </w:r>
      <w:r w:rsidRPr="00CD66C6">
        <w:t>деют градообразующими предприятиями, либо являются одними из немногих раб</w:t>
      </w:r>
      <w:r w:rsidRPr="00CD66C6">
        <w:t>о</w:t>
      </w:r>
      <w:r w:rsidRPr="00CD66C6">
        <w:t>тодателей в регионах. Фи</w:t>
      </w:r>
      <w:r w:rsidR="00746B41" w:rsidRPr="00CD66C6">
        <w:t>нансовая по</w:t>
      </w:r>
      <w:r w:rsidR="00746B41" w:rsidRPr="00CD66C6">
        <w:t>д</w:t>
      </w:r>
      <w:r w:rsidR="00746B41" w:rsidRPr="00CD66C6">
        <w:t xml:space="preserve">держка пенсионеров </w:t>
      </w:r>
      <w:r w:rsidRPr="00CD66C6">
        <w:t>и планирование в</w:t>
      </w:r>
      <w:r w:rsidRPr="00CD66C6">
        <w:t>ы</w:t>
      </w:r>
      <w:r w:rsidRPr="00CD66C6">
        <w:t>хода на пенсию работников, находящи</w:t>
      </w:r>
      <w:r w:rsidRPr="00CD66C6">
        <w:t>х</w:t>
      </w:r>
      <w:r w:rsidRPr="00CD66C6">
        <w:t xml:space="preserve">ся в предпенсионном возрасте для таких компаний является </w:t>
      </w:r>
      <w:r w:rsidR="00B66E28" w:rsidRPr="00CD66C6">
        <w:t xml:space="preserve">эффективным </w:t>
      </w:r>
      <w:r w:rsidRPr="00CD66C6">
        <w:t>инс</w:t>
      </w:r>
      <w:r w:rsidRPr="00CD66C6">
        <w:t>т</w:t>
      </w:r>
      <w:r w:rsidRPr="00CD66C6">
        <w:t>рументом поддержания социальной ст</w:t>
      </w:r>
      <w:r w:rsidRPr="00CD66C6">
        <w:t>а</w:t>
      </w:r>
      <w:r w:rsidRPr="00CD66C6">
        <w:t>бильности в конкретном регионе.</w:t>
      </w:r>
    </w:p>
    <w:p w:rsidR="000A7ECC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0A7ECC" w:rsidRPr="00CD66C6">
        <w:t>Запуск корпоративной пенсионной программы является важным шагом в жизни любой компании не только по масштабности проекта, но и по значим</w:t>
      </w:r>
      <w:r w:rsidR="000A7ECC" w:rsidRPr="00CD66C6">
        <w:t>о</w:t>
      </w:r>
      <w:r w:rsidR="000A7ECC" w:rsidRPr="00CD66C6">
        <w:t>сти изменений в корпоративной политике в области управле</w:t>
      </w:r>
      <w:r w:rsidR="00CD7808" w:rsidRPr="00CD66C6">
        <w:t>ния людскими ресу</w:t>
      </w:r>
      <w:r w:rsidR="00CD7808" w:rsidRPr="00CD66C6">
        <w:t>р</w:t>
      </w:r>
      <w:r w:rsidR="00CD7808" w:rsidRPr="00CD66C6">
        <w:t>сами (Рис.1.)</w:t>
      </w:r>
    </w:p>
    <w:p w:rsidR="00C63196" w:rsidRPr="00CD66C6" w:rsidRDefault="00B51F4C" w:rsidP="009D23B7">
      <w:pPr>
        <w:autoSpaceDE w:val="0"/>
        <w:autoSpaceDN w:val="0"/>
        <w:adjustRightInd w:val="0"/>
        <w:spacing w:line="21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2807335" cy="4147185"/>
            <wp:effectExtent l="19050" t="0" r="0" b="0"/>
            <wp:docPr id="1" name="Рисунок 1" descr="diagr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_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414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D4F" w:rsidRPr="00CD66C6" w:rsidRDefault="00493D4F" w:rsidP="009D23B7">
      <w:pPr>
        <w:autoSpaceDE w:val="0"/>
        <w:autoSpaceDN w:val="0"/>
        <w:adjustRightInd w:val="0"/>
        <w:spacing w:line="216" w:lineRule="auto"/>
        <w:jc w:val="both"/>
      </w:pPr>
    </w:p>
    <w:p w:rsidR="00C63196" w:rsidRDefault="00C63196" w:rsidP="009D23B7">
      <w:pPr>
        <w:autoSpaceDE w:val="0"/>
        <w:autoSpaceDN w:val="0"/>
        <w:adjustRightInd w:val="0"/>
        <w:spacing w:line="216" w:lineRule="auto"/>
        <w:ind w:left="567"/>
        <w:rPr>
          <w:b/>
          <w:sz w:val="22"/>
          <w:szCs w:val="22"/>
        </w:rPr>
      </w:pPr>
      <w:r w:rsidRPr="009D23B7">
        <w:rPr>
          <w:sz w:val="22"/>
          <w:szCs w:val="22"/>
        </w:rPr>
        <w:t>Рис</w:t>
      </w:r>
      <w:r w:rsidR="009D23B7" w:rsidRPr="009D23B7">
        <w:rPr>
          <w:sz w:val="22"/>
          <w:szCs w:val="22"/>
        </w:rPr>
        <w:t>унок</w:t>
      </w:r>
      <w:r w:rsidRPr="009D23B7">
        <w:rPr>
          <w:sz w:val="22"/>
          <w:szCs w:val="22"/>
        </w:rPr>
        <w:t xml:space="preserve"> 1</w:t>
      </w:r>
      <w:r w:rsidR="009D23B7" w:rsidRPr="009D23B7">
        <w:rPr>
          <w:sz w:val="22"/>
          <w:szCs w:val="22"/>
        </w:rPr>
        <w:t xml:space="preserve"> –</w:t>
      </w:r>
      <w:r w:rsidRPr="009D23B7">
        <w:rPr>
          <w:sz w:val="22"/>
          <w:szCs w:val="22"/>
        </w:rPr>
        <w:t xml:space="preserve"> </w:t>
      </w:r>
      <w:r w:rsidRPr="009D23B7">
        <w:rPr>
          <w:b/>
          <w:sz w:val="22"/>
          <w:szCs w:val="22"/>
        </w:rPr>
        <w:t>Этапы внедрения корп</w:t>
      </w:r>
      <w:r w:rsidRPr="009D23B7">
        <w:rPr>
          <w:b/>
          <w:sz w:val="22"/>
          <w:szCs w:val="22"/>
        </w:rPr>
        <w:t>о</w:t>
      </w:r>
      <w:r w:rsidRPr="009D23B7">
        <w:rPr>
          <w:b/>
          <w:sz w:val="22"/>
          <w:szCs w:val="22"/>
        </w:rPr>
        <w:t>ративной пенсионной программы</w:t>
      </w:r>
    </w:p>
    <w:p w:rsidR="009D23B7" w:rsidRPr="009D23B7" w:rsidRDefault="009D23B7" w:rsidP="009D23B7">
      <w:pPr>
        <w:autoSpaceDE w:val="0"/>
        <w:autoSpaceDN w:val="0"/>
        <w:adjustRightInd w:val="0"/>
        <w:spacing w:line="216" w:lineRule="auto"/>
        <w:ind w:left="709"/>
        <w:rPr>
          <w:b/>
          <w:sz w:val="22"/>
          <w:szCs w:val="22"/>
        </w:rPr>
      </w:pPr>
    </w:p>
    <w:p w:rsidR="00A14FF9" w:rsidRPr="00CD66C6" w:rsidRDefault="00C63196" w:rsidP="009D23B7">
      <w:pPr>
        <w:autoSpaceDE w:val="0"/>
        <w:autoSpaceDN w:val="0"/>
        <w:adjustRightInd w:val="0"/>
        <w:spacing w:line="216" w:lineRule="auto"/>
        <w:jc w:val="both"/>
      </w:pPr>
      <w:r w:rsidRPr="00CD66C6">
        <w:tab/>
      </w:r>
      <w:r w:rsidR="003E3366">
        <w:t xml:space="preserve">По состоянию на </w:t>
      </w:r>
      <w:r w:rsidR="00A14FF9" w:rsidRPr="00CD66C6">
        <w:t>1 июля 2009 года имеют действующую лицензию без огр</w:t>
      </w:r>
      <w:r w:rsidR="00A14FF9" w:rsidRPr="00CD66C6">
        <w:t>а</w:t>
      </w:r>
      <w:r w:rsidR="00A14FF9" w:rsidRPr="00CD66C6">
        <w:t>ничения срока действия 166 НПФ. Из них 26 крупнейших НПФ решают задачи пенсионного обеспечения в таких отра</w:t>
      </w:r>
      <w:r w:rsidR="00A14FF9" w:rsidRPr="00CD66C6">
        <w:t>с</w:t>
      </w:r>
      <w:r w:rsidR="00A14FF9" w:rsidRPr="00CD66C6">
        <w:t>лях, как добыча и транспортировка газа (НПФ «Газфонд»), железнодорожный транспорт (НПФ «БЛАГОСОСТОЯНИЕ»), бюджетная сфера ХМАО (Ханты-Мансийский НПФ), добыча, транспортировка и пер</w:t>
      </w:r>
      <w:r w:rsidR="00A14FF9" w:rsidRPr="00CD66C6">
        <w:t>е</w:t>
      </w:r>
      <w:r w:rsidR="00A14FF9" w:rsidRPr="00CD66C6">
        <w:t>работка нефти (6 фондов), машиностро</w:t>
      </w:r>
      <w:r w:rsidR="00A14FF9" w:rsidRPr="00CD66C6">
        <w:t>е</w:t>
      </w:r>
      <w:r w:rsidR="00A14FF9" w:rsidRPr="00CD66C6">
        <w:t>ние и оборонные отрасли промышленн</w:t>
      </w:r>
      <w:r w:rsidR="00A14FF9" w:rsidRPr="00CD66C6">
        <w:t>о</w:t>
      </w:r>
      <w:r w:rsidR="00A14FF9" w:rsidRPr="00CD66C6">
        <w:t>сти (5 фондов), черная и цветная мета</w:t>
      </w:r>
      <w:r w:rsidR="00A14FF9" w:rsidRPr="00CD66C6">
        <w:t>л</w:t>
      </w:r>
      <w:r w:rsidR="00A14FF9" w:rsidRPr="00CD66C6">
        <w:t>лургия (4 фонда), банковская деятел</w:t>
      </w:r>
      <w:r w:rsidR="00A14FF9" w:rsidRPr="00CD66C6">
        <w:t>ь</w:t>
      </w:r>
      <w:r w:rsidR="00A14FF9" w:rsidRPr="00CD66C6">
        <w:t>ность (3 фонда), электроэнергетика и связь (по 2 фонда), добыча полезных и</w:t>
      </w:r>
      <w:r w:rsidR="00A14FF9" w:rsidRPr="00CD66C6">
        <w:t>с</w:t>
      </w:r>
      <w:r w:rsidR="00A14FF9" w:rsidRPr="00CD66C6">
        <w:t>копаемых (1 фонд). В этих фондах соср</w:t>
      </w:r>
      <w:r w:rsidR="00A14FF9" w:rsidRPr="00CD66C6">
        <w:t>е</w:t>
      </w:r>
      <w:r w:rsidR="00A14FF9" w:rsidRPr="00CD66C6">
        <w:t>доточено 93,8% всех пенсионных резе</w:t>
      </w:r>
      <w:r w:rsidR="00A14FF9" w:rsidRPr="00CD66C6">
        <w:t>р</w:t>
      </w:r>
      <w:r w:rsidR="00A14FF9" w:rsidRPr="00CD66C6">
        <w:t>вов и 67% участников. Они выплачивают пенсию 75,4% пенсионеров, получающих сегодня негосударственную пенсию, з</w:t>
      </w:r>
      <w:r w:rsidR="00A14FF9" w:rsidRPr="00CD66C6">
        <w:t>а</w:t>
      </w:r>
      <w:r w:rsidR="00A14FF9" w:rsidRPr="00CD66C6">
        <w:t>трачивая на это 86% всех пенсионных выплат, осуществляемых в системе НПФ</w:t>
      </w:r>
      <w:r w:rsidR="003E3366">
        <w:t xml:space="preserve"> </w:t>
      </w:r>
      <w:r w:rsidR="003E3366" w:rsidRPr="003E3366">
        <w:t>[</w:t>
      </w:r>
      <w:r w:rsidR="006C3FBC">
        <w:t>3,</w:t>
      </w:r>
      <w:r w:rsidR="003E3366" w:rsidRPr="003E3366">
        <w:t>4]</w:t>
      </w:r>
      <w:r w:rsidR="00A14FF9" w:rsidRPr="00CD66C6">
        <w:t>.</w:t>
      </w:r>
    </w:p>
    <w:p w:rsidR="00A14FF9" w:rsidRPr="00CD66C6" w:rsidRDefault="00015577" w:rsidP="009D23B7">
      <w:pPr>
        <w:spacing w:line="216" w:lineRule="auto"/>
        <w:ind w:firstLine="708"/>
        <w:jc w:val="both"/>
      </w:pPr>
      <w:r w:rsidRPr="00CD66C6">
        <w:lastRenderedPageBreak/>
        <w:t>И всё же, н</w:t>
      </w:r>
      <w:r w:rsidR="00044DB3" w:rsidRPr="00CD66C6">
        <w:t>есмотря на то</w:t>
      </w:r>
      <w:r w:rsidR="00493D4F" w:rsidRPr="00CD66C6">
        <w:t>,</w:t>
      </w:r>
      <w:r w:rsidR="00044DB3" w:rsidRPr="00CD66C6">
        <w:t xml:space="preserve"> что вн</w:t>
      </w:r>
      <w:r w:rsidR="00044DB3" w:rsidRPr="00CD66C6">
        <w:t>е</w:t>
      </w:r>
      <w:r w:rsidR="00044DB3" w:rsidRPr="00CD66C6">
        <w:t>дрение корпоративных пенсионных пр</w:t>
      </w:r>
      <w:r w:rsidR="00044DB3" w:rsidRPr="00CD66C6">
        <w:t>о</w:t>
      </w:r>
      <w:r w:rsidR="00044DB3" w:rsidRPr="00CD66C6">
        <w:t>грамм становится важным фактором, влияющим на имидж и конкурентосп</w:t>
      </w:r>
      <w:r w:rsidR="00044DB3" w:rsidRPr="00CD66C6">
        <w:t>о</w:t>
      </w:r>
      <w:r w:rsidR="00044DB3" w:rsidRPr="00CD66C6">
        <w:t>собность компаний, далеко не каждая компания готова предложить св</w:t>
      </w:r>
      <w:r w:rsidRPr="00CD66C6">
        <w:t>оим р</w:t>
      </w:r>
      <w:r w:rsidRPr="00CD66C6">
        <w:t>а</w:t>
      </w:r>
      <w:r w:rsidRPr="00CD66C6">
        <w:t xml:space="preserve">ботникам </w:t>
      </w:r>
      <w:r w:rsidR="00A14FF9" w:rsidRPr="00CD66C6">
        <w:t>такую программу по ряду пр</w:t>
      </w:r>
      <w:r w:rsidR="00A14FF9" w:rsidRPr="00CD66C6">
        <w:t>и</w:t>
      </w:r>
      <w:r w:rsidR="00A14FF9" w:rsidRPr="00CD66C6">
        <w:t xml:space="preserve">чин. </w:t>
      </w:r>
    </w:p>
    <w:p w:rsidR="00015577" w:rsidRPr="00CD66C6" w:rsidRDefault="00A14FF9" w:rsidP="009D23B7">
      <w:pPr>
        <w:spacing w:line="216" w:lineRule="auto"/>
        <w:ind w:firstLine="708"/>
        <w:jc w:val="both"/>
      </w:pPr>
      <w:r w:rsidRPr="00CD66C6">
        <w:t>Среди них:</w:t>
      </w:r>
      <w:r w:rsidR="00015577" w:rsidRPr="00CD66C6">
        <w:t xml:space="preserve"> </w:t>
      </w:r>
      <w:r w:rsidR="00044DB3" w:rsidRPr="00CD66C6">
        <w:t>запретительный хара</w:t>
      </w:r>
      <w:r w:rsidR="00044DB3" w:rsidRPr="00CD66C6">
        <w:t>к</w:t>
      </w:r>
      <w:r w:rsidR="00044DB3" w:rsidRPr="00CD66C6">
        <w:t>тер налогового законодательства, кот</w:t>
      </w:r>
      <w:r w:rsidR="00044DB3" w:rsidRPr="00CD66C6">
        <w:t>о</w:t>
      </w:r>
      <w:r w:rsidR="00044DB3" w:rsidRPr="00CD66C6">
        <w:t xml:space="preserve">рое не способствует накоплению средств в системе </w:t>
      </w:r>
      <w:r w:rsidR="00B66E28" w:rsidRPr="00CD66C6">
        <w:t>негосударственного пенсио</w:t>
      </w:r>
      <w:r w:rsidR="00B66E28" w:rsidRPr="00CD66C6">
        <w:t>н</w:t>
      </w:r>
      <w:r w:rsidR="00B66E28" w:rsidRPr="00CD66C6">
        <w:t>ного обеспечения</w:t>
      </w:r>
      <w:r w:rsidR="00044DB3" w:rsidRPr="00CD66C6">
        <w:t>, нечеткость нормати</w:t>
      </w:r>
      <w:r w:rsidR="00044DB3" w:rsidRPr="00CD66C6">
        <w:t>в</w:t>
      </w:r>
      <w:r w:rsidR="00044DB3" w:rsidRPr="00CD66C6">
        <w:t>но-правовой базы, регулирующей реал</w:t>
      </w:r>
      <w:r w:rsidR="00044DB3" w:rsidRPr="00CD66C6">
        <w:t>и</w:t>
      </w:r>
      <w:r w:rsidR="00044DB3" w:rsidRPr="00CD66C6">
        <w:t>зацию корпоративных пенсионных пр</w:t>
      </w:r>
      <w:r w:rsidR="00044DB3" w:rsidRPr="00CD66C6">
        <w:t>о</w:t>
      </w:r>
      <w:r w:rsidR="00044DB3" w:rsidRPr="00CD66C6">
        <w:t>грамм и ограниченная возможность р</w:t>
      </w:r>
      <w:r w:rsidR="00044DB3" w:rsidRPr="00CD66C6">
        <w:t>е</w:t>
      </w:r>
      <w:r w:rsidR="00044DB3" w:rsidRPr="00CD66C6">
        <w:t>инвестирования средств, накопленных в ходе реализации корпоративных пенс</w:t>
      </w:r>
      <w:r w:rsidR="00044DB3" w:rsidRPr="00CD66C6">
        <w:t>и</w:t>
      </w:r>
      <w:r w:rsidR="00044DB3" w:rsidRPr="00CD66C6">
        <w:t xml:space="preserve">онных программ, в экономику компании. Но есть и другие препятствия. Развитие корпоративных пенсионных программ требует поддержки государства не только по линии налоговых льгот, но и по линии </w:t>
      </w:r>
      <w:r w:rsidR="00015577" w:rsidRPr="00CD66C6">
        <w:t>информационного сопровождения, кот</w:t>
      </w:r>
      <w:r w:rsidR="00015577" w:rsidRPr="00CD66C6">
        <w:t>о</w:t>
      </w:r>
      <w:r w:rsidR="00015577" w:rsidRPr="00CD66C6">
        <w:t xml:space="preserve">рому в настоящее время в нашей стране уделяется крайне мало внимания. </w:t>
      </w:r>
      <w:r w:rsidR="00044DB3" w:rsidRPr="00CD66C6">
        <w:t xml:space="preserve"> </w:t>
      </w:r>
    </w:p>
    <w:p w:rsidR="00221553" w:rsidRPr="00CD66C6" w:rsidRDefault="00493D4F" w:rsidP="009D23B7">
      <w:pPr>
        <w:spacing w:line="216" w:lineRule="auto"/>
        <w:jc w:val="both"/>
      </w:pPr>
      <w:r w:rsidRPr="00CD66C6">
        <w:tab/>
      </w:r>
      <w:r w:rsidR="00044DB3" w:rsidRPr="00CD66C6">
        <w:t xml:space="preserve">В пенсионной сфере в силу ее специфики </w:t>
      </w:r>
      <w:r w:rsidR="0068446A" w:rsidRPr="00CD66C6">
        <w:t>значительную р</w:t>
      </w:r>
      <w:r w:rsidR="00044DB3" w:rsidRPr="00CD66C6">
        <w:t>оль играют субъективные, психологические факт</w:t>
      </w:r>
      <w:r w:rsidR="00044DB3" w:rsidRPr="00CD66C6">
        <w:t>о</w:t>
      </w:r>
      <w:r w:rsidR="00044DB3" w:rsidRPr="00CD66C6">
        <w:t xml:space="preserve">ры, в том числе вопрос доверия </w:t>
      </w:r>
      <w:r w:rsidR="00015577" w:rsidRPr="00CD66C6">
        <w:t>насел</w:t>
      </w:r>
      <w:r w:rsidR="00015577" w:rsidRPr="00CD66C6">
        <w:t>е</w:t>
      </w:r>
      <w:r w:rsidR="00015577" w:rsidRPr="00CD66C6">
        <w:t xml:space="preserve">ния </w:t>
      </w:r>
      <w:r w:rsidR="00044DB3" w:rsidRPr="00CD66C6">
        <w:t xml:space="preserve">к частным финансовым институтам. </w:t>
      </w:r>
      <w:r w:rsidR="00F72451" w:rsidRPr="00CD66C6">
        <w:t>Компания, предлагающая свою корпор</w:t>
      </w:r>
      <w:r w:rsidR="00F72451" w:rsidRPr="00CD66C6">
        <w:t>а</w:t>
      </w:r>
      <w:r w:rsidR="00F72451" w:rsidRPr="00CD66C6">
        <w:t xml:space="preserve">тивную пенсионную программу, должна быть стабильной и надежной. </w:t>
      </w:r>
      <w:r w:rsidR="00A14FF9" w:rsidRPr="00CD66C6">
        <w:t>С</w:t>
      </w:r>
      <w:r w:rsidR="00221553" w:rsidRPr="00CD66C6">
        <w:t>оздание корпоративного пенсионного плана для многих предприятий</w:t>
      </w:r>
      <w:r w:rsidR="00F72451" w:rsidRPr="00CD66C6">
        <w:t>, нацеленных на у</w:t>
      </w:r>
      <w:r w:rsidR="00F72451" w:rsidRPr="00CD66C6">
        <w:t>с</w:t>
      </w:r>
      <w:r w:rsidR="00F72451" w:rsidRPr="00CD66C6">
        <w:t xml:space="preserve">пех и идущих в ногу со временем, </w:t>
      </w:r>
      <w:r w:rsidR="00221553" w:rsidRPr="00CD66C6">
        <w:t xml:space="preserve"> явл</w:t>
      </w:r>
      <w:r w:rsidR="00221553" w:rsidRPr="00CD66C6">
        <w:t>я</w:t>
      </w:r>
      <w:r w:rsidR="00221553" w:rsidRPr="00CD66C6">
        <w:t>ется не только важным методом управл</w:t>
      </w:r>
      <w:r w:rsidR="00221553" w:rsidRPr="00CD66C6">
        <w:t>е</w:t>
      </w:r>
      <w:r w:rsidR="00221553" w:rsidRPr="00CD66C6">
        <w:t>ния персоналом, но и частью построения имиджа привлекательного</w:t>
      </w:r>
      <w:r w:rsidR="00F72451" w:rsidRPr="00CD66C6">
        <w:t xml:space="preserve"> </w:t>
      </w:r>
      <w:r w:rsidR="00221553" w:rsidRPr="00CD66C6">
        <w:t>и надежного работодателя.</w:t>
      </w:r>
    </w:p>
    <w:p w:rsidR="00221553" w:rsidRPr="009D23B7" w:rsidRDefault="00221553" w:rsidP="009D23B7">
      <w:pPr>
        <w:spacing w:line="216" w:lineRule="auto"/>
        <w:jc w:val="both"/>
        <w:rPr>
          <w:b/>
          <w:sz w:val="16"/>
          <w:szCs w:val="16"/>
        </w:rPr>
      </w:pPr>
    </w:p>
    <w:p w:rsidR="00221553" w:rsidRDefault="00221553" w:rsidP="009D23B7">
      <w:pPr>
        <w:spacing w:line="216" w:lineRule="auto"/>
        <w:jc w:val="both"/>
        <w:rPr>
          <w:b/>
        </w:rPr>
      </w:pPr>
      <w:r w:rsidRPr="00CD66C6">
        <w:rPr>
          <w:b/>
        </w:rPr>
        <w:t>Литература</w:t>
      </w:r>
    </w:p>
    <w:p w:rsidR="009D23B7" w:rsidRPr="009D23B7" w:rsidRDefault="009D23B7" w:rsidP="009D23B7">
      <w:pPr>
        <w:spacing w:line="216" w:lineRule="auto"/>
        <w:jc w:val="both"/>
        <w:rPr>
          <w:b/>
          <w:sz w:val="16"/>
          <w:szCs w:val="16"/>
        </w:rPr>
      </w:pPr>
    </w:p>
    <w:p w:rsidR="009D23B7" w:rsidRPr="00FE4F41" w:rsidRDefault="009D23B7" w:rsidP="00F26FC0">
      <w:pPr>
        <w:numPr>
          <w:ilvl w:val="0"/>
          <w:numId w:val="3"/>
        </w:numPr>
        <w:tabs>
          <w:tab w:val="left" w:pos="284"/>
        </w:tabs>
        <w:spacing w:after="60" w:line="216" w:lineRule="auto"/>
        <w:ind w:left="142" w:hanging="357"/>
        <w:jc w:val="both"/>
        <w:rPr>
          <w:sz w:val="20"/>
          <w:szCs w:val="20"/>
        </w:rPr>
      </w:pPr>
      <w:r w:rsidRPr="00FE4F41">
        <w:rPr>
          <w:sz w:val="20"/>
          <w:szCs w:val="20"/>
        </w:rPr>
        <w:t xml:space="preserve">Федеральный закон от 07.05.1998 № 75-ФЗ «О негосударственных пенсионных фондах». </w:t>
      </w:r>
    </w:p>
    <w:p w:rsidR="009D23B7" w:rsidRPr="00FE4F41" w:rsidRDefault="009D23B7" w:rsidP="00F26FC0">
      <w:pPr>
        <w:numPr>
          <w:ilvl w:val="0"/>
          <w:numId w:val="3"/>
        </w:numPr>
        <w:tabs>
          <w:tab w:val="left" w:pos="284"/>
        </w:tabs>
        <w:spacing w:after="60" w:line="216" w:lineRule="auto"/>
        <w:ind w:left="142" w:hanging="357"/>
        <w:jc w:val="both"/>
        <w:rPr>
          <w:sz w:val="20"/>
          <w:szCs w:val="20"/>
        </w:rPr>
      </w:pPr>
      <w:r w:rsidRPr="00FE4F41">
        <w:rPr>
          <w:sz w:val="20"/>
          <w:szCs w:val="20"/>
        </w:rPr>
        <w:t>Ерусланова Р.И., Емельянова Ф.Н., Кондратьева Р.А. Пенсионное обеспечение в России: Уче</w:t>
      </w:r>
      <w:r w:rsidRPr="00FE4F41">
        <w:rPr>
          <w:sz w:val="20"/>
          <w:szCs w:val="20"/>
        </w:rPr>
        <w:t>б</w:t>
      </w:r>
      <w:r w:rsidRPr="00FE4F41">
        <w:rPr>
          <w:sz w:val="20"/>
          <w:szCs w:val="20"/>
        </w:rPr>
        <w:t>ное пособие / Под общ. Ред. Проф. Р.И. Ерусл</w:t>
      </w:r>
      <w:r w:rsidRPr="00FE4F41">
        <w:rPr>
          <w:sz w:val="20"/>
          <w:szCs w:val="20"/>
        </w:rPr>
        <w:t>а</w:t>
      </w:r>
      <w:r w:rsidRPr="00FE4F41">
        <w:rPr>
          <w:sz w:val="20"/>
          <w:szCs w:val="20"/>
        </w:rPr>
        <w:t xml:space="preserve">новой. – М.: Издательско-торговая корпорация «Дашков и К», 2008. – 608 с. </w:t>
      </w:r>
    </w:p>
    <w:p w:rsidR="009D23B7" w:rsidRPr="00FE4F41" w:rsidRDefault="00A447BA" w:rsidP="00F26FC0">
      <w:pPr>
        <w:numPr>
          <w:ilvl w:val="0"/>
          <w:numId w:val="3"/>
        </w:numPr>
        <w:tabs>
          <w:tab w:val="left" w:pos="284"/>
        </w:tabs>
        <w:spacing w:after="60" w:line="216" w:lineRule="auto"/>
        <w:ind w:left="142" w:hanging="357"/>
        <w:jc w:val="both"/>
        <w:rPr>
          <w:sz w:val="20"/>
          <w:szCs w:val="20"/>
        </w:rPr>
      </w:pPr>
      <w:hyperlink r:id="rId13" w:history="1">
        <w:r w:rsidR="009D23B7" w:rsidRPr="00FE4F41">
          <w:rPr>
            <w:sz w:val="20"/>
            <w:szCs w:val="20"/>
            <w:lang w:val="en-US"/>
          </w:rPr>
          <w:t>www</w:t>
        </w:r>
        <w:r w:rsidR="009D23B7" w:rsidRPr="00FE4F41">
          <w:rPr>
            <w:sz w:val="20"/>
            <w:szCs w:val="20"/>
          </w:rPr>
          <w:t>.</w:t>
        </w:r>
        <w:r w:rsidR="009D23B7" w:rsidRPr="00FE4F41">
          <w:rPr>
            <w:sz w:val="20"/>
            <w:szCs w:val="20"/>
            <w:lang w:val="en-US"/>
          </w:rPr>
          <w:t>investfunds</w:t>
        </w:r>
        <w:r w:rsidR="009D23B7" w:rsidRPr="00FE4F41">
          <w:rPr>
            <w:sz w:val="20"/>
            <w:szCs w:val="20"/>
          </w:rPr>
          <w:t>.</w:t>
        </w:r>
        <w:r w:rsidR="009D23B7" w:rsidRPr="00FE4F41">
          <w:rPr>
            <w:sz w:val="20"/>
            <w:szCs w:val="20"/>
            <w:lang w:val="en-US"/>
          </w:rPr>
          <w:t>ru</w:t>
        </w:r>
      </w:hyperlink>
      <w:r w:rsidR="009D23B7" w:rsidRPr="00FE4F41">
        <w:rPr>
          <w:sz w:val="20"/>
          <w:szCs w:val="20"/>
        </w:rPr>
        <w:t xml:space="preserve"> – рейтинг негосударстве</w:t>
      </w:r>
      <w:r w:rsidR="009D23B7" w:rsidRPr="00FE4F41">
        <w:rPr>
          <w:sz w:val="20"/>
          <w:szCs w:val="20"/>
        </w:rPr>
        <w:t>н</w:t>
      </w:r>
      <w:r w:rsidR="009D23B7" w:rsidRPr="00FE4F41">
        <w:rPr>
          <w:sz w:val="20"/>
          <w:szCs w:val="20"/>
        </w:rPr>
        <w:t>ных пенсионных фондов</w:t>
      </w:r>
    </w:p>
    <w:p w:rsidR="00FE4F41" w:rsidRPr="009D23B7" w:rsidRDefault="009D23B7" w:rsidP="00F26FC0">
      <w:pPr>
        <w:spacing w:after="60" w:line="216" w:lineRule="auto"/>
        <w:ind w:left="142"/>
        <w:jc w:val="both"/>
        <w:sectPr w:rsidR="00FE4F41" w:rsidRPr="009D23B7" w:rsidSect="009D23B7">
          <w:type w:val="continuous"/>
          <w:pgSz w:w="11906" w:h="16838" w:code="9"/>
          <w:pgMar w:top="1134" w:right="1134" w:bottom="1134" w:left="1701" w:header="709" w:footer="709" w:gutter="0"/>
          <w:cols w:num="2" w:space="454"/>
          <w:docGrid w:linePitch="360"/>
        </w:sectPr>
      </w:pPr>
      <w:r w:rsidRPr="00FE4F41">
        <w:rPr>
          <w:sz w:val="20"/>
          <w:szCs w:val="20"/>
          <w:lang w:val="en-US"/>
        </w:rPr>
        <w:t>www</w:t>
      </w:r>
      <w:r w:rsidRPr="00FE4F41">
        <w:rPr>
          <w:sz w:val="20"/>
          <w:szCs w:val="20"/>
        </w:rPr>
        <w:t>.</w:t>
      </w:r>
      <w:r w:rsidRPr="00FE4F41">
        <w:rPr>
          <w:sz w:val="20"/>
          <w:szCs w:val="20"/>
          <w:lang w:val="en-US"/>
        </w:rPr>
        <w:t>fundshub</w:t>
      </w:r>
      <w:r w:rsidRPr="00FE4F41">
        <w:rPr>
          <w:sz w:val="20"/>
          <w:szCs w:val="20"/>
        </w:rPr>
        <w:t>.</w:t>
      </w:r>
      <w:r w:rsidRPr="00FE4F41">
        <w:rPr>
          <w:sz w:val="20"/>
          <w:szCs w:val="20"/>
          <w:lang w:val="en-US"/>
        </w:rPr>
        <w:t>ru</w:t>
      </w:r>
      <w:r w:rsidRPr="00FE4F41">
        <w:rPr>
          <w:sz w:val="20"/>
          <w:szCs w:val="20"/>
        </w:rPr>
        <w:t xml:space="preserve"> – корпоративные пенсионные программы</w:t>
      </w:r>
      <w:r>
        <w:t>.</w:t>
      </w:r>
    </w:p>
    <w:p w:rsidR="00044DB3" w:rsidRPr="00CD66C6" w:rsidRDefault="00044DB3" w:rsidP="00493D4F">
      <w:pPr>
        <w:jc w:val="both"/>
      </w:pPr>
    </w:p>
    <w:sectPr w:rsidR="00044DB3" w:rsidRPr="00CD66C6" w:rsidSect="00FE4F41">
      <w:type w:val="continuous"/>
      <w:pgSz w:w="11906" w:h="16838" w:code="9"/>
      <w:pgMar w:top="1134" w:right="1134" w:bottom="1134" w:left="1701" w:header="680" w:footer="680" w:gutter="0"/>
      <w:cols w:space="45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D8B" w:rsidRDefault="003F7D8B">
      <w:r>
        <w:separator/>
      </w:r>
    </w:p>
  </w:endnote>
  <w:endnote w:type="continuationSeparator" w:id="1">
    <w:p w:rsidR="003F7D8B" w:rsidRDefault="003F7D8B">
      <w:r>
        <w:continuationSeparator/>
      </w:r>
    </w:p>
  </w:endnote>
  <w:endnote w:id="2">
    <w:p w:rsidR="00FE4F41" w:rsidRPr="00F26FC0" w:rsidRDefault="00FE4F41">
      <w:pPr>
        <w:pStyle w:val="ab"/>
        <w:rPr>
          <w:sz w:val="22"/>
          <w:szCs w:val="22"/>
        </w:rPr>
      </w:pPr>
      <w:r w:rsidRPr="00F26FC0">
        <w:rPr>
          <w:rStyle w:val="ad"/>
          <w:sz w:val="22"/>
          <w:szCs w:val="22"/>
        </w:rPr>
        <w:sym w:font="Symbol" w:char="F031"/>
      </w:r>
      <w:r w:rsidRPr="00F26FC0">
        <w:rPr>
          <w:sz w:val="22"/>
          <w:szCs w:val="22"/>
        </w:rPr>
        <w:t xml:space="preserve"> </w:t>
      </w:r>
      <w:r w:rsidRPr="00F26FC0">
        <w:rPr>
          <w:i/>
          <w:sz w:val="22"/>
          <w:szCs w:val="22"/>
        </w:rPr>
        <w:t>Черников Э.А. ,ПГУПС</w:t>
      </w:r>
      <w:r w:rsidRPr="00F26FC0">
        <w:rPr>
          <w:i/>
          <w:sz w:val="22"/>
          <w:szCs w:val="22"/>
        </w:rPr>
        <w:sym w:font="Symbol" w:char="F02D"/>
      </w:r>
      <w:r w:rsidRPr="00F26FC0">
        <w:rPr>
          <w:i/>
          <w:sz w:val="22"/>
          <w:szCs w:val="22"/>
        </w:rPr>
        <w:t>ЛИИЖТ. Тел. (812) 315-05-22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0CE" w:rsidRPr="00A200CE" w:rsidRDefault="00A447BA" w:rsidP="00A200CE">
    <w:pPr>
      <w:pStyle w:val="a7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="00A200CE"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="00D62DAB" w:rsidRPr="00D62DAB">
      <w:rPr>
        <w:noProof/>
      </w:rPr>
      <w:t>84</w:t>
    </w:r>
    <w:r w:rsidRPr="00FF0734">
      <w:rPr>
        <w:sz w:val="22"/>
        <w:szCs w:val="22"/>
      </w:rPr>
      <w:fldChar w:fldCharType="end"/>
    </w:r>
    <w:r w:rsidR="00A200CE" w:rsidRPr="00FF0734">
      <w:rPr>
        <w:b/>
        <w:sz w:val="22"/>
        <w:szCs w:val="22"/>
      </w:rPr>
      <w:t xml:space="preserve">                                                                        НИИТТС</w:t>
    </w:r>
    <w:r w:rsidR="00A200CE" w:rsidRPr="00FF0734">
      <w:rPr>
        <w:b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B7" w:rsidRPr="009D23B7" w:rsidRDefault="009D23B7" w:rsidP="009D23B7">
    <w:pPr>
      <w:pStyle w:val="a7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A447BA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A447BA" w:rsidRPr="00277AF4">
      <w:rPr>
        <w:sz w:val="22"/>
        <w:szCs w:val="22"/>
      </w:rPr>
      <w:fldChar w:fldCharType="separate"/>
    </w:r>
    <w:r w:rsidR="00D62DAB">
      <w:rPr>
        <w:noProof/>
        <w:sz w:val="22"/>
        <w:szCs w:val="22"/>
      </w:rPr>
      <w:t>83</w:t>
    </w:r>
    <w:r w:rsidR="00A447BA" w:rsidRPr="00277AF4"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B7" w:rsidRPr="00D62DAB" w:rsidRDefault="00D62DAB" w:rsidP="00D62DAB">
    <w:pPr>
      <w:pStyle w:val="a7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Pr="00D62DAB">
      <w:rPr>
        <w:noProof/>
      </w:rPr>
      <w:t>82</w:t>
    </w:r>
    <w:r w:rsidRPr="00FF0734">
      <w:rPr>
        <w:sz w:val="22"/>
        <w:szCs w:val="22"/>
      </w:rPr>
      <w:fldChar w:fldCharType="end"/>
    </w:r>
    <w:r w:rsidRPr="00FF0734">
      <w:rPr>
        <w:b/>
        <w:sz w:val="22"/>
        <w:szCs w:val="22"/>
      </w:rPr>
      <w:t xml:space="preserve">                                                                        НИИТТС</w:t>
    </w:r>
    <w:r w:rsidRPr="00FF0734">
      <w:rPr>
        <w:b/>
        <w:sz w:val="22"/>
        <w:szCs w:val="2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D8B" w:rsidRDefault="003F7D8B">
      <w:r>
        <w:separator/>
      </w:r>
    </w:p>
  </w:footnote>
  <w:footnote w:type="continuationSeparator" w:id="1">
    <w:p w:rsidR="003F7D8B" w:rsidRDefault="003F7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B7" w:rsidRPr="009D23B7" w:rsidRDefault="009D23B7" w:rsidP="009D23B7">
    <w:pPr>
      <w:pStyle w:val="a6"/>
      <w:pBdr>
        <w:bottom w:val="single" w:sz="12" w:space="1" w:color="auto"/>
      </w:pBdr>
      <w:rPr>
        <w:b/>
        <w:i/>
        <w:color w:val="632423"/>
        <w:sz w:val="22"/>
        <w:szCs w:val="22"/>
      </w:rPr>
    </w:pPr>
    <w:r w:rsidRPr="009D23B7">
      <w:rPr>
        <w:b/>
        <w:i/>
        <w:color w:val="632423"/>
        <w:sz w:val="22"/>
        <w:szCs w:val="22"/>
      </w:rPr>
      <w:t>Э.А. Черников</w:t>
    </w:r>
    <w:r>
      <w:rPr>
        <w:b/>
        <w:i/>
        <w:color w:val="632423"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B7" w:rsidRPr="009D23B7" w:rsidRDefault="009D23B7" w:rsidP="009D23B7">
    <w:pPr>
      <w:pBdr>
        <w:bottom w:val="single" w:sz="12" w:space="1" w:color="auto"/>
      </w:pBdr>
      <w:jc w:val="right"/>
      <w:rPr>
        <w:b/>
        <w:i/>
        <w:color w:val="632423"/>
        <w:sz w:val="22"/>
        <w:szCs w:val="22"/>
      </w:rPr>
    </w:pPr>
    <w:r w:rsidRPr="009D23B7">
      <w:rPr>
        <w:b/>
        <w:i/>
        <w:color w:val="632423"/>
        <w:sz w:val="22"/>
        <w:szCs w:val="22"/>
      </w:rPr>
      <w:t>Перспективы внедрения корпоративных пенсионных программ в российских компаниях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B4152"/>
    <w:multiLevelType w:val="hybridMultilevel"/>
    <w:tmpl w:val="367C8C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C74AFA"/>
    <w:multiLevelType w:val="multilevel"/>
    <w:tmpl w:val="B4CE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9E6414"/>
    <w:multiLevelType w:val="hybridMultilevel"/>
    <w:tmpl w:val="AEF44C6A"/>
    <w:lvl w:ilvl="0" w:tplc="970AF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stylePaneFormatFilter w:val="3F01"/>
  <w:defaultTabStop w:val="708"/>
  <w:autoHyphenation/>
  <w:hyphenationZone w:val="357"/>
  <w:doNotHyphenateCaps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9D3248"/>
    <w:rsid w:val="00015577"/>
    <w:rsid w:val="0001592B"/>
    <w:rsid w:val="00033387"/>
    <w:rsid w:val="00044DB3"/>
    <w:rsid w:val="000742AE"/>
    <w:rsid w:val="00084614"/>
    <w:rsid w:val="00087061"/>
    <w:rsid w:val="00087AAC"/>
    <w:rsid w:val="000A379A"/>
    <w:rsid w:val="000A7ECC"/>
    <w:rsid w:val="000B04F4"/>
    <w:rsid w:val="000C5C21"/>
    <w:rsid w:val="000E07B0"/>
    <w:rsid w:val="000F39F5"/>
    <w:rsid w:val="00100B9B"/>
    <w:rsid w:val="00110C77"/>
    <w:rsid w:val="0011779F"/>
    <w:rsid w:val="0013195F"/>
    <w:rsid w:val="0013681B"/>
    <w:rsid w:val="00145492"/>
    <w:rsid w:val="0015787B"/>
    <w:rsid w:val="001B412E"/>
    <w:rsid w:val="001B510F"/>
    <w:rsid w:val="001C6A28"/>
    <w:rsid w:val="001C6D38"/>
    <w:rsid w:val="001F4161"/>
    <w:rsid w:val="001F468E"/>
    <w:rsid w:val="001F514C"/>
    <w:rsid w:val="00211A14"/>
    <w:rsid w:val="00212B2E"/>
    <w:rsid w:val="00212CE2"/>
    <w:rsid w:val="00221553"/>
    <w:rsid w:val="002418FF"/>
    <w:rsid w:val="00254EB3"/>
    <w:rsid w:val="00254FEB"/>
    <w:rsid w:val="00264E3B"/>
    <w:rsid w:val="00290C4D"/>
    <w:rsid w:val="002C5E58"/>
    <w:rsid w:val="002D67CE"/>
    <w:rsid w:val="002D6F14"/>
    <w:rsid w:val="002E4CAB"/>
    <w:rsid w:val="002F5BB9"/>
    <w:rsid w:val="003002A7"/>
    <w:rsid w:val="00310F34"/>
    <w:rsid w:val="003222CF"/>
    <w:rsid w:val="00330699"/>
    <w:rsid w:val="003579BA"/>
    <w:rsid w:val="003779BF"/>
    <w:rsid w:val="003901BE"/>
    <w:rsid w:val="003B49D6"/>
    <w:rsid w:val="003B6CC0"/>
    <w:rsid w:val="003E0771"/>
    <w:rsid w:val="003E3366"/>
    <w:rsid w:val="003F4209"/>
    <w:rsid w:val="003F58B7"/>
    <w:rsid w:val="003F692F"/>
    <w:rsid w:val="003F7D8B"/>
    <w:rsid w:val="00400C72"/>
    <w:rsid w:val="004012A8"/>
    <w:rsid w:val="00410FDD"/>
    <w:rsid w:val="00423513"/>
    <w:rsid w:val="00436DA4"/>
    <w:rsid w:val="00445FA5"/>
    <w:rsid w:val="00474F62"/>
    <w:rsid w:val="00493D4F"/>
    <w:rsid w:val="00495A9B"/>
    <w:rsid w:val="004A0F55"/>
    <w:rsid w:val="004A1491"/>
    <w:rsid w:val="004A605E"/>
    <w:rsid w:val="004B7B1B"/>
    <w:rsid w:val="004B7BD1"/>
    <w:rsid w:val="004D08EA"/>
    <w:rsid w:val="004D0A08"/>
    <w:rsid w:val="004D63BB"/>
    <w:rsid w:val="004D6BEC"/>
    <w:rsid w:val="004E1549"/>
    <w:rsid w:val="004E5B4D"/>
    <w:rsid w:val="004F1093"/>
    <w:rsid w:val="0050121A"/>
    <w:rsid w:val="00501F70"/>
    <w:rsid w:val="00507CD0"/>
    <w:rsid w:val="00513913"/>
    <w:rsid w:val="00513E4E"/>
    <w:rsid w:val="005249DC"/>
    <w:rsid w:val="005579E2"/>
    <w:rsid w:val="00563BA0"/>
    <w:rsid w:val="005747D7"/>
    <w:rsid w:val="005767F0"/>
    <w:rsid w:val="0059712C"/>
    <w:rsid w:val="005C0C75"/>
    <w:rsid w:val="005C25EE"/>
    <w:rsid w:val="005C5695"/>
    <w:rsid w:val="005E0A3A"/>
    <w:rsid w:val="005E3082"/>
    <w:rsid w:val="005F3803"/>
    <w:rsid w:val="00605644"/>
    <w:rsid w:val="00606928"/>
    <w:rsid w:val="00616C60"/>
    <w:rsid w:val="0061791B"/>
    <w:rsid w:val="00631CB0"/>
    <w:rsid w:val="006346D1"/>
    <w:rsid w:val="0064154F"/>
    <w:rsid w:val="006561DD"/>
    <w:rsid w:val="0068446A"/>
    <w:rsid w:val="006860C8"/>
    <w:rsid w:val="006878B9"/>
    <w:rsid w:val="006A3DE2"/>
    <w:rsid w:val="006A7353"/>
    <w:rsid w:val="006A7BB0"/>
    <w:rsid w:val="006B728F"/>
    <w:rsid w:val="006C3FBC"/>
    <w:rsid w:val="006D6BAB"/>
    <w:rsid w:val="006E38E5"/>
    <w:rsid w:val="006E4D8D"/>
    <w:rsid w:val="006F1732"/>
    <w:rsid w:val="0070265F"/>
    <w:rsid w:val="007043AE"/>
    <w:rsid w:val="00737D91"/>
    <w:rsid w:val="00746B41"/>
    <w:rsid w:val="0077026E"/>
    <w:rsid w:val="007819D6"/>
    <w:rsid w:val="00782B5F"/>
    <w:rsid w:val="007A6640"/>
    <w:rsid w:val="007B0386"/>
    <w:rsid w:val="007B2002"/>
    <w:rsid w:val="007B22F1"/>
    <w:rsid w:val="007C0AB9"/>
    <w:rsid w:val="007C2156"/>
    <w:rsid w:val="007C7557"/>
    <w:rsid w:val="007F1A4B"/>
    <w:rsid w:val="007F2081"/>
    <w:rsid w:val="007F5D1C"/>
    <w:rsid w:val="007F6CD1"/>
    <w:rsid w:val="00814FF2"/>
    <w:rsid w:val="00817ED4"/>
    <w:rsid w:val="00846166"/>
    <w:rsid w:val="00847C9D"/>
    <w:rsid w:val="00851114"/>
    <w:rsid w:val="00857049"/>
    <w:rsid w:val="008645EC"/>
    <w:rsid w:val="00881E9D"/>
    <w:rsid w:val="00895D61"/>
    <w:rsid w:val="008B40DB"/>
    <w:rsid w:val="008C1EB0"/>
    <w:rsid w:val="008E7B77"/>
    <w:rsid w:val="008F1918"/>
    <w:rsid w:val="008F5D17"/>
    <w:rsid w:val="009046A3"/>
    <w:rsid w:val="00920878"/>
    <w:rsid w:val="00960EE6"/>
    <w:rsid w:val="009724B6"/>
    <w:rsid w:val="00992228"/>
    <w:rsid w:val="009950FC"/>
    <w:rsid w:val="009A364E"/>
    <w:rsid w:val="009A3B50"/>
    <w:rsid w:val="009A4E8D"/>
    <w:rsid w:val="009A7FFC"/>
    <w:rsid w:val="009B22CA"/>
    <w:rsid w:val="009B2433"/>
    <w:rsid w:val="009B305D"/>
    <w:rsid w:val="009B6834"/>
    <w:rsid w:val="009D0A1E"/>
    <w:rsid w:val="009D23B7"/>
    <w:rsid w:val="009D3248"/>
    <w:rsid w:val="009D3ADF"/>
    <w:rsid w:val="009D54EA"/>
    <w:rsid w:val="009D688F"/>
    <w:rsid w:val="009E0C22"/>
    <w:rsid w:val="009E2C74"/>
    <w:rsid w:val="009E5DFD"/>
    <w:rsid w:val="009E77DB"/>
    <w:rsid w:val="009F24C6"/>
    <w:rsid w:val="009F46AC"/>
    <w:rsid w:val="00A0131B"/>
    <w:rsid w:val="00A0790C"/>
    <w:rsid w:val="00A100A6"/>
    <w:rsid w:val="00A14FF9"/>
    <w:rsid w:val="00A17CA7"/>
    <w:rsid w:val="00A200CE"/>
    <w:rsid w:val="00A23BE9"/>
    <w:rsid w:val="00A257E0"/>
    <w:rsid w:val="00A4104A"/>
    <w:rsid w:val="00A447BA"/>
    <w:rsid w:val="00A5772F"/>
    <w:rsid w:val="00A7306A"/>
    <w:rsid w:val="00A85AFE"/>
    <w:rsid w:val="00AC4A6E"/>
    <w:rsid w:val="00AC556B"/>
    <w:rsid w:val="00AE4224"/>
    <w:rsid w:val="00B04CDE"/>
    <w:rsid w:val="00B054D6"/>
    <w:rsid w:val="00B114CC"/>
    <w:rsid w:val="00B1554D"/>
    <w:rsid w:val="00B428EB"/>
    <w:rsid w:val="00B452A9"/>
    <w:rsid w:val="00B51D6E"/>
    <w:rsid w:val="00B51E13"/>
    <w:rsid w:val="00B51F4C"/>
    <w:rsid w:val="00B66E28"/>
    <w:rsid w:val="00B6716D"/>
    <w:rsid w:val="00B861F5"/>
    <w:rsid w:val="00B90BD2"/>
    <w:rsid w:val="00B96D5D"/>
    <w:rsid w:val="00BA0D36"/>
    <w:rsid w:val="00BA4F3D"/>
    <w:rsid w:val="00BA6D98"/>
    <w:rsid w:val="00BC0DF9"/>
    <w:rsid w:val="00BC3C4E"/>
    <w:rsid w:val="00BC5A53"/>
    <w:rsid w:val="00C11673"/>
    <w:rsid w:val="00C31646"/>
    <w:rsid w:val="00C36181"/>
    <w:rsid w:val="00C406E0"/>
    <w:rsid w:val="00C423D7"/>
    <w:rsid w:val="00C55089"/>
    <w:rsid w:val="00C63196"/>
    <w:rsid w:val="00CA0AED"/>
    <w:rsid w:val="00CB22E2"/>
    <w:rsid w:val="00CB319D"/>
    <w:rsid w:val="00CC4179"/>
    <w:rsid w:val="00CC6C55"/>
    <w:rsid w:val="00CD66C6"/>
    <w:rsid w:val="00CD7808"/>
    <w:rsid w:val="00CE07AE"/>
    <w:rsid w:val="00CE40A0"/>
    <w:rsid w:val="00CF4B9D"/>
    <w:rsid w:val="00D017E4"/>
    <w:rsid w:val="00D0306A"/>
    <w:rsid w:val="00D052DD"/>
    <w:rsid w:val="00D153F0"/>
    <w:rsid w:val="00D1625E"/>
    <w:rsid w:val="00D26FF1"/>
    <w:rsid w:val="00D305E0"/>
    <w:rsid w:val="00D374AB"/>
    <w:rsid w:val="00D37947"/>
    <w:rsid w:val="00D617D4"/>
    <w:rsid w:val="00D62DAB"/>
    <w:rsid w:val="00D72D2C"/>
    <w:rsid w:val="00D90204"/>
    <w:rsid w:val="00D94BB0"/>
    <w:rsid w:val="00DB5C5E"/>
    <w:rsid w:val="00DD3480"/>
    <w:rsid w:val="00DD77A8"/>
    <w:rsid w:val="00DE20BB"/>
    <w:rsid w:val="00DE54AC"/>
    <w:rsid w:val="00DE585C"/>
    <w:rsid w:val="00DF4240"/>
    <w:rsid w:val="00DF6117"/>
    <w:rsid w:val="00DF7E43"/>
    <w:rsid w:val="00E10600"/>
    <w:rsid w:val="00E120CF"/>
    <w:rsid w:val="00E20D83"/>
    <w:rsid w:val="00E21F9C"/>
    <w:rsid w:val="00E226B2"/>
    <w:rsid w:val="00E2290B"/>
    <w:rsid w:val="00E30CC9"/>
    <w:rsid w:val="00E31FB5"/>
    <w:rsid w:val="00E35150"/>
    <w:rsid w:val="00E352CF"/>
    <w:rsid w:val="00E42875"/>
    <w:rsid w:val="00E56E82"/>
    <w:rsid w:val="00E74DCF"/>
    <w:rsid w:val="00E778B1"/>
    <w:rsid w:val="00E840B5"/>
    <w:rsid w:val="00E90CD7"/>
    <w:rsid w:val="00E93EC9"/>
    <w:rsid w:val="00E96BE2"/>
    <w:rsid w:val="00ED51A2"/>
    <w:rsid w:val="00ED5962"/>
    <w:rsid w:val="00ED70C1"/>
    <w:rsid w:val="00EF45CA"/>
    <w:rsid w:val="00EF7A51"/>
    <w:rsid w:val="00F12CC1"/>
    <w:rsid w:val="00F219AA"/>
    <w:rsid w:val="00F26FC0"/>
    <w:rsid w:val="00F4042F"/>
    <w:rsid w:val="00F63DAA"/>
    <w:rsid w:val="00F71E8C"/>
    <w:rsid w:val="00F72451"/>
    <w:rsid w:val="00F7632B"/>
    <w:rsid w:val="00F8170F"/>
    <w:rsid w:val="00F851A2"/>
    <w:rsid w:val="00F90605"/>
    <w:rsid w:val="00FA72EC"/>
    <w:rsid w:val="00FB2C77"/>
    <w:rsid w:val="00FB4D00"/>
    <w:rsid w:val="00FD29AC"/>
    <w:rsid w:val="00FD6A89"/>
    <w:rsid w:val="00FD719E"/>
    <w:rsid w:val="00FD7F5A"/>
    <w:rsid w:val="00FE3735"/>
    <w:rsid w:val="00FE4F41"/>
    <w:rsid w:val="00FF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C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E4F41"/>
    <w:pPr>
      <w:keepNext/>
      <w:keepLines/>
      <w:spacing w:before="480" w:line="220" w:lineRule="exact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13E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D3248"/>
    <w:pPr>
      <w:ind w:firstLine="397"/>
      <w:jc w:val="both"/>
    </w:pPr>
    <w:rPr>
      <w:szCs w:val="20"/>
    </w:rPr>
  </w:style>
  <w:style w:type="character" w:styleId="a3">
    <w:name w:val="Emphasis"/>
    <w:basedOn w:val="a0"/>
    <w:qFormat/>
    <w:rsid w:val="0015787B"/>
    <w:rPr>
      <w:i/>
      <w:iCs/>
    </w:rPr>
  </w:style>
  <w:style w:type="paragraph" w:styleId="a4">
    <w:name w:val="Normal (Web)"/>
    <w:basedOn w:val="a"/>
    <w:rsid w:val="00C63196"/>
    <w:pPr>
      <w:spacing w:before="240" w:after="288"/>
    </w:pPr>
  </w:style>
  <w:style w:type="character" w:styleId="a5">
    <w:name w:val="Strong"/>
    <w:basedOn w:val="a0"/>
    <w:qFormat/>
    <w:rsid w:val="00C63196"/>
    <w:rPr>
      <w:b/>
      <w:bCs/>
    </w:rPr>
  </w:style>
  <w:style w:type="paragraph" w:styleId="a6">
    <w:name w:val="header"/>
    <w:basedOn w:val="a"/>
    <w:rsid w:val="00493D4F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493D4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CD7808"/>
    <w:rPr>
      <w:rFonts w:ascii="Tahoma" w:hAnsi="Tahoma" w:cs="Tahoma"/>
      <w:sz w:val="16"/>
      <w:szCs w:val="16"/>
    </w:rPr>
  </w:style>
  <w:style w:type="paragraph" w:customStyle="1" w:styleId="Annotation">
    <w:name w:val="Annotation"/>
    <w:basedOn w:val="a"/>
    <w:next w:val="a"/>
    <w:rsid w:val="00CD66C6"/>
    <w:pPr>
      <w:jc w:val="both"/>
    </w:pPr>
    <w:rPr>
      <w:sz w:val="20"/>
      <w:szCs w:val="20"/>
      <w:lang w:eastAsia="ar-SA"/>
    </w:rPr>
  </w:style>
  <w:style w:type="character" w:styleId="aa">
    <w:name w:val="Hyperlink"/>
    <w:basedOn w:val="a0"/>
    <w:rsid w:val="00E120C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E4F41"/>
    <w:rPr>
      <w:rFonts w:ascii="Cambria" w:hAnsi="Cambria"/>
      <w:b/>
      <w:bCs/>
      <w:color w:val="365F91"/>
      <w:sz w:val="28"/>
      <w:szCs w:val="28"/>
    </w:rPr>
  </w:style>
  <w:style w:type="paragraph" w:styleId="ab">
    <w:name w:val="endnote text"/>
    <w:basedOn w:val="a"/>
    <w:link w:val="ac"/>
    <w:rsid w:val="00FE4F41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FE4F41"/>
  </w:style>
  <w:style w:type="character" w:styleId="ad">
    <w:name w:val="endnote reference"/>
    <w:basedOn w:val="a0"/>
    <w:rsid w:val="00FE4F41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9D23B7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13E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nvestfunds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ПЕРСПЕКТИВЫ ВНЕДРЕНИЯ </vt:lpstr>
    </vt:vector>
  </TitlesOfParts>
  <Company>Notebook</Company>
  <LinksUpToDate>false</LinksUpToDate>
  <CharactersWithSpaces>10174</CharactersWithSpaces>
  <SharedDoc>false</SharedDoc>
  <HLinks>
    <vt:vector size="6" baseType="variant">
      <vt:variant>
        <vt:i4>6357093</vt:i4>
      </vt:variant>
      <vt:variant>
        <vt:i4>3</vt:i4>
      </vt:variant>
      <vt:variant>
        <vt:i4>0</vt:i4>
      </vt:variant>
      <vt:variant>
        <vt:i4>5</vt:i4>
      </vt:variant>
      <vt:variant>
        <vt:lpwstr>http://www.investfunds.ru/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ПЕРСПЕКТИВЫ ВНЕДРЕНИЯ </dc:title>
  <dc:subject/>
  <dc:creator>Эдуард</dc:creator>
  <cp:keywords/>
  <dc:description/>
  <cp:lastModifiedBy>MBK</cp:lastModifiedBy>
  <cp:revision>6</cp:revision>
  <cp:lastPrinted>2009-11-09T10:19:00Z</cp:lastPrinted>
  <dcterms:created xsi:type="dcterms:W3CDTF">2009-12-20T16:00:00Z</dcterms:created>
  <dcterms:modified xsi:type="dcterms:W3CDTF">2009-12-20T19:56:00Z</dcterms:modified>
</cp:coreProperties>
</file>